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6B82" w14:textId="77777777" w:rsidR="002A0234" w:rsidRDefault="002A0234">
      <w:pPr>
        <w:rPr>
          <w:lang w:val="en-US"/>
        </w:rPr>
      </w:pPr>
    </w:p>
    <w:p w14:paraId="74D03644" w14:textId="747ECB59" w:rsidR="00266155" w:rsidRDefault="00266155" w:rsidP="002A0234">
      <w:pPr>
        <w:spacing w:after="0" w:line="360" w:lineRule="auto"/>
        <w:jc w:val="center"/>
        <w:rPr>
          <w:rFonts w:ascii="Arial" w:hAnsi="Arial" w:cs="Arial"/>
          <w:b/>
          <w:iCs/>
          <w:smallCaps/>
          <w:color w:val="2F5496" w:themeColor="accent1" w:themeShade="BF"/>
          <w:sz w:val="28"/>
          <w:szCs w:val="28"/>
          <w:lang w:val="en-US"/>
        </w:rPr>
      </w:pPr>
      <w:r>
        <w:rPr>
          <w:rFonts w:ascii="Arial" w:hAnsi="Arial" w:cs="Arial"/>
          <w:b/>
          <w:iCs/>
          <w:smallCaps/>
          <w:color w:val="2F5496" w:themeColor="accent1" w:themeShade="BF"/>
          <w:sz w:val="28"/>
          <w:szCs w:val="28"/>
          <w:lang w:val="en-US"/>
        </w:rPr>
        <w:t>Law Cases Working Group</w:t>
      </w:r>
    </w:p>
    <w:p w14:paraId="5EC57082" w14:textId="09BB1C0E" w:rsidR="002A0234" w:rsidRPr="002A0234" w:rsidRDefault="3DEDCEC1" w:rsidP="22CEFF5E">
      <w:pPr>
        <w:spacing w:after="0" w:line="360" w:lineRule="auto"/>
        <w:jc w:val="center"/>
        <w:rPr>
          <w:rFonts w:ascii="Arial" w:hAnsi="Arial" w:cs="Arial"/>
          <w:b/>
          <w:bCs/>
          <w:smallCaps/>
          <w:color w:val="2F5496" w:themeColor="accent1" w:themeShade="BF"/>
          <w:sz w:val="28"/>
          <w:szCs w:val="28"/>
          <w:lang w:val="en-US"/>
        </w:rPr>
      </w:pPr>
      <w:r w:rsidRPr="22CEFF5E">
        <w:rPr>
          <w:rFonts w:ascii="Arial" w:hAnsi="Arial" w:cs="Arial"/>
          <w:b/>
          <w:bCs/>
          <w:smallCaps/>
          <w:color w:val="2F5496" w:themeColor="accent1" w:themeShade="BF"/>
          <w:sz w:val="28"/>
          <w:szCs w:val="28"/>
          <w:lang w:val="en-US"/>
        </w:rPr>
        <w:t xml:space="preserve">Relevant Cases </w:t>
      </w:r>
      <w:r w:rsidR="002A0234" w:rsidRPr="22CEFF5E">
        <w:rPr>
          <w:rFonts w:ascii="Arial" w:hAnsi="Arial" w:cs="Arial"/>
          <w:b/>
          <w:bCs/>
          <w:smallCaps/>
          <w:color w:val="2F5496" w:themeColor="accent1" w:themeShade="BF"/>
          <w:sz w:val="28"/>
          <w:szCs w:val="28"/>
          <w:lang w:val="en-US"/>
        </w:rPr>
        <w:t>form</w:t>
      </w:r>
    </w:p>
    <w:p w14:paraId="671EED41" w14:textId="77777777" w:rsidR="009C022F" w:rsidRDefault="009C022F" w:rsidP="002A0234">
      <w:pPr>
        <w:spacing w:after="0" w:line="360" w:lineRule="auto"/>
        <w:jc w:val="both"/>
        <w:rPr>
          <w:rFonts w:ascii="Arial" w:hAnsi="Arial" w:cs="Arial"/>
          <w:b/>
          <w:iCs/>
          <w:smallCaps/>
          <w:color w:val="2F5496" w:themeColor="accent1" w:themeShade="BF"/>
          <w:lang w:val="en-US"/>
        </w:rPr>
      </w:pPr>
    </w:p>
    <w:p w14:paraId="04CB3E1F" w14:textId="77777777" w:rsidR="009C022F" w:rsidRDefault="009C022F" w:rsidP="009C022F">
      <w:pPr>
        <w:spacing w:after="0" w:line="360" w:lineRule="auto"/>
        <w:rPr>
          <w:rFonts w:ascii="Arial" w:hAnsi="Arial" w:cs="Arial"/>
          <w:b/>
          <w:iCs/>
          <w:smallCaps/>
          <w:color w:val="2F5496" w:themeColor="accent1" w:themeShade="BF"/>
          <w:lang w:val="en-US"/>
        </w:rPr>
      </w:pPr>
      <w:r>
        <w:rPr>
          <w:rFonts w:ascii="Arial" w:hAnsi="Arial" w:cs="Arial"/>
          <w:b/>
          <w:iCs/>
          <w:smallCaps/>
          <w:color w:val="2F5496" w:themeColor="accent1" w:themeShade="BF"/>
          <w:lang w:val="en-US"/>
        </w:rPr>
        <w:t>Objective</w:t>
      </w:r>
    </w:p>
    <w:p w14:paraId="041AD1DB" w14:textId="3B4B21AB" w:rsidR="009C022F" w:rsidRDefault="009C022F" w:rsidP="009C022F">
      <w:pPr>
        <w:spacing w:after="0" w:line="360" w:lineRule="auto"/>
        <w:jc w:val="both"/>
        <w:rPr>
          <w:rFonts w:ascii="Arial" w:hAnsi="Arial" w:cs="Arial"/>
          <w:lang w:val="en-US"/>
        </w:rPr>
      </w:pPr>
      <w:r w:rsidRPr="000E5AF0">
        <w:rPr>
          <w:rFonts w:ascii="Arial" w:hAnsi="Arial" w:cs="Arial"/>
          <w:lang w:val="en-US"/>
        </w:rPr>
        <w:t xml:space="preserve">In </w:t>
      </w:r>
      <w:r>
        <w:rPr>
          <w:rFonts w:ascii="Arial" w:hAnsi="Arial" w:cs="Arial"/>
          <w:lang w:val="en-US"/>
        </w:rPr>
        <w:t>M</w:t>
      </w:r>
      <w:r w:rsidRPr="000E5AF0">
        <w:rPr>
          <w:rFonts w:ascii="Arial" w:hAnsi="Arial" w:cs="Arial"/>
          <w:lang w:val="en-US"/>
        </w:rPr>
        <w:t xml:space="preserve">ay 2022 the </w:t>
      </w:r>
      <w:r>
        <w:rPr>
          <w:rFonts w:ascii="Arial" w:hAnsi="Arial" w:cs="Arial"/>
          <w:lang w:val="en-US"/>
        </w:rPr>
        <w:t>I</w:t>
      </w:r>
      <w:r w:rsidRPr="000E5AF0">
        <w:rPr>
          <w:rFonts w:ascii="Arial" w:hAnsi="Arial" w:cs="Arial"/>
          <w:lang w:val="en-US"/>
        </w:rPr>
        <w:t xml:space="preserve">nternational </w:t>
      </w:r>
      <w:r>
        <w:rPr>
          <w:rFonts w:ascii="Arial" w:hAnsi="Arial" w:cs="Arial"/>
          <w:lang w:val="en-US"/>
        </w:rPr>
        <w:t>C</w:t>
      </w:r>
      <w:r w:rsidRPr="000E5AF0">
        <w:rPr>
          <w:rFonts w:ascii="Arial" w:hAnsi="Arial" w:cs="Arial"/>
          <w:lang w:val="en-US"/>
        </w:rPr>
        <w:t xml:space="preserve">onference of </w:t>
      </w:r>
      <w:r>
        <w:rPr>
          <w:rFonts w:ascii="Arial" w:hAnsi="Arial" w:cs="Arial"/>
          <w:lang w:val="en-US"/>
        </w:rPr>
        <w:t>I</w:t>
      </w:r>
      <w:r w:rsidRPr="000E5AF0">
        <w:rPr>
          <w:rFonts w:ascii="Arial" w:hAnsi="Arial" w:cs="Arial"/>
          <w:lang w:val="en-US"/>
        </w:rPr>
        <w:t xml:space="preserve">nformation </w:t>
      </w:r>
      <w:r>
        <w:rPr>
          <w:rFonts w:ascii="Arial" w:hAnsi="Arial" w:cs="Arial"/>
          <w:lang w:val="en-US"/>
        </w:rPr>
        <w:t>C</w:t>
      </w:r>
      <w:r w:rsidRPr="000E5AF0">
        <w:rPr>
          <w:rFonts w:ascii="Arial" w:hAnsi="Arial" w:cs="Arial"/>
          <w:lang w:val="en-US"/>
        </w:rPr>
        <w:t>ommissioners (</w:t>
      </w:r>
      <w:r>
        <w:rPr>
          <w:rFonts w:ascii="Arial" w:hAnsi="Arial" w:cs="Arial"/>
          <w:lang w:val="en-US"/>
        </w:rPr>
        <w:t>ICIC</w:t>
      </w:r>
      <w:r w:rsidRPr="000E5AF0">
        <w:rPr>
          <w:rFonts w:ascii="Arial" w:hAnsi="Arial" w:cs="Arial"/>
          <w:lang w:val="en-US"/>
        </w:rPr>
        <w:t xml:space="preserve">) </w:t>
      </w:r>
      <w:r>
        <w:rPr>
          <w:rFonts w:ascii="Arial" w:hAnsi="Arial" w:cs="Arial"/>
          <w:lang w:val="en-US"/>
        </w:rPr>
        <w:t>establish</w:t>
      </w:r>
      <w:r w:rsidR="00D75FB3">
        <w:rPr>
          <w:rFonts w:ascii="Arial" w:hAnsi="Arial" w:cs="Arial"/>
          <w:lang w:val="en-US"/>
        </w:rPr>
        <w:t>ed</w:t>
      </w:r>
      <w:r>
        <w:rPr>
          <w:rFonts w:ascii="Arial" w:hAnsi="Arial" w:cs="Arial"/>
          <w:lang w:val="en-US"/>
        </w:rPr>
        <w:t xml:space="preserve"> the Law Cases W</w:t>
      </w:r>
      <w:r w:rsidRPr="000E5AF0">
        <w:rPr>
          <w:rFonts w:ascii="Arial" w:hAnsi="Arial" w:cs="Arial"/>
          <w:lang w:val="en-US"/>
        </w:rPr>
        <w:t xml:space="preserve">orking </w:t>
      </w:r>
      <w:r>
        <w:rPr>
          <w:rFonts w:ascii="Arial" w:hAnsi="Arial" w:cs="Arial"/>
          <w:lang w:val="en-US"/>
        </w:rPr>
        <w:t>G</w:t>
      </w:r>
      <w:r w:rsidRPr="000E5AF0">
        <w:rPr>
          <w:rFonts w:ascii="Arial" w:hAnsi="Arial" w:cs="Arial"/>
          <w:lang w:val="en-US"/>
        </w:rPr>
        <w:t>roup, which objective is to advance</w:t>
      </w:r>
      <w:r w:rsidRPr="006D24C4">
        <w:rPr>
          <w:rFonts w:ascii="Arial" w:hAnsi="Arial" w:cs="Arial"/>
          <w:lang w:val="en-US"/>
        </w:rPr>
        <w:t xml:space="preserve"> the knowledge about Law Cases and relevant resolutions regarding access to information with the overarching goal of increasing innovation. These efforts are intended to </w:t>
      </w:r>
      <w:r>
        <w:rPr>
          <w:rFonts w:ascii="Arial" w:hAnsi="Arial" w:cs="Arial"/>
          <w:lang w:val="en-US"/>
        </w:rPr>
        <w:t>share</w:t>
      </w:r>
      <w:r w:rsidRPr="006D24C4">
        <w:rPr>
          <w:rFonts w:ascii="Arial" w:hAnsi="Arial" w:cs="Arial"/>
          <w:lang w:val="en-US"/>
        </w:rPr>
        <w:t xml:space="preserve"> knowledge</w:t>
      </w:r>
      <w:r>
        <w:rPr>
          <w:rFonts w:ascii="Arial" w:hAnsi="Arial" w:cs="Arial"/>
          <w:lang w:val="en-US"/>
        </w:rPr>
        <w:t xml:space="preserve"> </w:t>
      </w:r>
      <w:r w:rsidRPr="006D24C4">
        <w:rPr>
          <w:rFonts w:ascii="Arial" w:hAnsi="Arial" w:cs="Arial"/>
          <w:lang w:val="en-US"/>
        </w:rPr>
        <w:t>and exchange best practices</w:t>
      </w:r>
      <w:r>
        <w:rPr>
          <w:rFonts w:ascii="Arial" w:hAnsi="Arial" w:cs="Arial"/>
          <w:lang w:val="en-US"/>
        </w:rPr>
        <w:t>.</w:t>
      </w:r>
    </w:p>
    <w:p w14:paraId="13F16094" w14:textId="77777777" w:rsidR="009C022F" w:rsidRPr="000E5AF0" w:rsidRDefault="009C022F" w:rsidP="009C022F">
      <w:pPr>
        <w:spacing w:after="0" w:line="360" w:lineRule="auto"/>
        <w:jc w:val="both"/>
        <w:rPr>
          <w:rFonts w:ascii="Arial" w:hAnsi="Arial" w:cs="Arial"/>
          <w:lang w:val="en-US"/>
        </w:rPr>
      </w:pPr>
    </w:p>
    <w:p w14:paraId="2E12D313" w14:textId="7E092618" w:rsidR="009C022F" w:rsidRPr="009C022F" w:rsidRDefault="009C022F" w:rsidP="009C022F">
      <w:pPr>
        <w:spacing w:after="0" w:line="360" w:lineRule="auto"/>
        <w:jc w:val="both"/>
        <w:rPr>
          <w:rFonts w:ascii="Arial" w:hAnsi="Arial" w:cs="Arial"/>
          <w:lang w:val="en-US"/>
        </w:rPr>
      </w:pPr>
      <w:r w:rsidRPr="009C022F">
        <w:rPr>
          <w:rFonts w:ascii="Arial" w:hAnsi="Arial" w:cs="Arial"/>
          <w:lang w:val="en-US"/>
        </w:rPr>
        <w:t xml:space="preserve">This Relevant Cases Form was prepared within the ICIC Law Cases Working Group, and its objective is to </w:t>
      </w:r>
      <w:r>
        <w:rPr>
          <w:rFonts w:ascii="Arial" w:hAnsi="Arial" w:cs="Arial"/>
          <w:lang w:val="en-US"/>
        </w:rPr>
        <w:t>i</w:t>
      </w:r>
      <w:r w:rsidRPr="009C022F">
        <w:rPr>
          <w:rFonts w:ascii="Arial" w:hAnsi="Arial" w:cs="Arial"/>
          <w:lang w:val="en-US"/>
        </w:rPr>
        <w:t>ntegrate a compilation of files fact sheets with relevant cases</w:t>
      </w:r>
      <w:r>
        <w:rPr>
          <w:rFonts w:ascii="Arial" w:hAnsi="Arial" w:cs="Arial"/>
          <w:lang w:val="en-US"/>
        </w:rPr>
        <w:t xml:space="preserve">, </w:t>
      </w:r>
      <w:r w:rsidRPr="009C022F">
        <w:rPr>
          <w:rFonts w:ascii="Arial" w:hAnsi="Arial" w:cs="Arial"/>
          <w:lang w:val="en-US"/>
        </w:rPr>
        <w:t xml:space="preserve">two </w:t>
      </w:r>
      <w:r>
        <w:rPr>
          <w:rFonts w:ascii="Arial" w:hAnsi="Arial" w:cs="Arial"/>
          <w:lang w:val="en-US"/>
        </w:rPr>
        <w:t xml:space="preserve">2022 </w:t>
      </w:r>
      <w:r w:rsidRPr="009C022F">
        <w:rPr>
          <w:rFonts w:ascii="Arial" w:hAnsi="Arial" w:cs="Arial"/>
          <w:lang w:val="en-US"/>
        </w:rPr>
        <w:t>cases per institution</w:t>
      </w:r>
      <w:r>
        <w:rPr>
          <w:rFonts w:ascii="Arial" w:hAnsi="Arial" w:cs="Arial"/>
          <w:lang w:val="en-US"/>
        </w:rPr>
        <w:t xml:space="preserve">, </w:t>
      </w:r>
      <w:r w:rsidRPr="009C022F">
        <w:rPr>
          <w:rFonts w:ascii="Arial" w:hAnsi="Arial" w:cs="Arial"/>
          <w:lang w:val="en-US"/>
        </w:rPr>
        <w:t>that will allow us to share and spread these cases in the ICIC website.</w:t>
      </w:r>
    </w:p>
    <w:p w14:paraId="6CB20734" w14:textId="77777777" w:rsidR="009C022F" w:rsidRPr="009C022F" w:rsidRDefault="009C022F" w:rsidP="002A0234">
      <w:pPr>
        <w:spacing w:after="0" w:line="360" w:lineRule="auto"/>
        <w:jc w:val="both"/>
        <w:rPr>
          <w:rFonts w:ascii="Arial" w:hAnsi="Arial" w:cs="Arial"/>
          <w:lang w:val="en-US"/>
        </w:rPr>
      </w:pPr>
    </w:p>
    <w:p w14:paraId="00717FB8" w14:textId="76210B0E" w:rsidR="002A0234" w:rsidRPr="002A0234" w:rsidRDefault="002A0234" w:rsidP="002A0234">
      <w:pPr>
        <w:spacing w:after="0" w:line="360" w:lineRule="auto"/>
        <w:jc w:val="both"/>
        <w:rPr>
          <w:rFonts w:ascii="Arial" w:hAnsi="Arial" w:cs="Arial"/>
          <w:b/>
          <w:iCs/>
          <w:smallCaps/>
          <w:color w:val="2F5496" w:themeColor="accent1" w:themeShade="BF"/>
          <w:lang w:val="en-US"/>
        </w:rPr>
      </w:pPr>
      <w:r w:rsidRPr="002A0234">
        <w:rPr>
          <w:rFonts w:ascii="Arial" w:hAnsi="Arial" w:cs="Arial"/>
          <w:b/>
          <w:iCs/>
          <w:smallCaps/>
          <w:color w:val="2F5496" w:themeColor="accent1" w:themeShade="BF"/>
          <w:lang w:val="en-US"/>
        </w:rPr>
        <w:t xml:space="preserve">Case reference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2A0234" w:rsidRPr="002A0234" w14:paraId="29CD1C48" w14:textId="77777777" w:rsidTr="009C022F">
        <w:trPr>
          <w:trHeight w:val="567"/>
        </w:trPr>
        <w:tc>
          <w:tcPr>
            <w:tcW w:w="8808" w:type="dxa"/>
          </w:tcPr>
          <w:p w14:paraId="1B55132B" w14:textId="7DAF68B5" w:rsidR="002A0234" w:rsidRPr="002A0234" w:rsidRDefault="002A0234" w:rsidP="00F018EA">
            <w:pPr>
              <w:spacing w:line="360" w:lineRule="auto"/>
              <w:rPr>
                <w:rFonts w:ascii="Arial" w:hAnsi="Arial" w:cs="Arial"/>
                <w:lang w:val="en-US"/>
              </w:rPr>
            </w:pPr>
            <w:r w:rsidRPr="002A0234">
              <w:rPr>
                <w:rFonts w:ascii="Arial" w:hAnsi="Arial" w:cs="Arial"/>
                <w:lang w:val="en-US"/>
              </w:rPr>
              <w:t>Authority:</w:t>
            </w:r>
            <w:r w:rsidR="00E32552">
              <w:rPr>
                <w:rFonts w:ascii="Arial" w:hAnsi="Arial" w:cs="Arial"/>
                <w:lang w:val="en-US"/>
              </w:rPr>
              <w:t xml:space="preserve"> Information Commissioner’s Office</w:t>
            </w:r>
          </w:p>
        </w:tc>
      </w:tr>
      <w:tr w:rsidR="002A0234" w:rsidRPr="002A0234" w14:paraId="3FEEF5D0" w14:textId="77777777" w:rsidTr="009C022F">
        <w:trPr>
          <w:trHeight w:val="567"/>
        </w:trPr>
        <w:tc>
          <w:tcPr>
            <w:tcW w:w="8808" w:type="dxa"/>
          </w:tcPr>
          <w:p w14:paraId="45A0ABE3" w14:textId="32CA7415" w:rsidR="002A0234" w:rsidRPr="002A0234" w:rsidRDefault="002A0234" w:rsidP="00F018EA">
            <w:pPr>
              <w:spacing w:line="360" w:lineRule="auto"/>
              <w:rPr>
                <w:rFonts w:ascii="Arial" w:hAnsi="Arial" w:cs="Arial"/>
                <w:lang w:val="en-US"/>
              </w:rPr>
            </w:pPr>
            <w:r w:rsidRPr="002A0234">
              <w:rPr>
                <w:rFonts w:ascii="Arial" w:hAnsi="Arial" w:cs="Arial"/>
                <w:lang w:val="en-US"/>
              </w:rPr>
              <w:t>Country</w:t>
            </w:r>
            <w:r w:rsidR="008D5440">
              <w:rPr>
                <w:rFonts w:ascii="Arial" w:hAnsi="Arial" w:cs="Arial"/>
                <w:lang w:val="en-US"/>
              </w:rPr>
              <w:t xml:space="preserve"> </w:t>
            </w:r>
            <w:r w:rsidRPr="002A0234">
              <w:rPr>
                <w:rFonts w:ascii="Arial" w:hAnsi="Arial" w:cs="Arial"/>
                <w:lang w:val="en-US"/>
              </w:rPr>
              <w:t>/</w:t>
            </w:r>
            <w:r w:rsidR="008D5440">
              <w:rPr>
                <w:rFonts w:ascii="Arial" w:hAnsi="Arial" w:cs="Arial"/>
                <w:lang w:val="en-US"/>
              </w:rPr>
              <w:t xml:space="preserve"> </w:t>
            </w:r>
            <w:r w:rsidRPr="002A0234">
              <w:rPr>
                <w:rFonts w:ascii="Arial" w:hAnsi="Arial" w:cs="Arial"/>
                <w:lang w:val="en-US"/>
              </w:rPr>
              <w:t>State:</w:t>
            </w:r>
            <w:r w:rsidR="00E32552">
              <w:rPr>
                <w:rFonts w:ascii="Arial" w:hAnsi="Arial" w:cs="Arial"/>
                <w:lang w:val="en-US"/>
              </w:rPr>
              <w:t xml:space="preserve"> Maldives</w:t>
            </w:r>
          </w:p>
        </w:tc>
      </w:tr>
    </w:tbl>
    <w:p w14:paraId="03287CE0" w14:textId="77777777" w:rsidR="002A0234" w:rsidRPr="002A0234" w:rsidRDefault="002A0234" w:rsidP="002A0234">
      <w:pPr>
        <w:spacing w:after="0" w:line="360" w:lineRule="auto"/>
        <w:rPr>
          <w:rFonts w:ascii="Arial" w:hAnsi="Arial" w:cs="Arial"/>
          <w:lang w:val="en-US"/>
        </w:rPr>
      </w:pPr>
    </w:p>
    <w:p w14:paraId="6082C719" w14:textId="28C853A3" w:rsidR="002A0234" w:rsidRPr="002A0234" w:rsidRDefault="002A0234" w:rsidP="002A0234">
      <w:pPr>
        <w:spacing w:after="0" w:line="360" w:lineRule="auto"/>
        <w:jc w:val="both"/>
        <w:rPr>
          <w:rFonts w:ascii="Arial" w:hAnsi="Arial" w:cs="Arial"/>
          <w:b/>
          <w:iCs/>
          <w:smallCaps/>
          <w:color w:val="2F5496" w:themeColor="accent1" w:themeShade="BF"/>
          <w:lang w:val="en-US"/>
        </w:rPr>
      </w:pPr>
      <w:r w:rsidRPr="002A0234">
        <w:rPr>
          <w:rFonts w:ascii="Arial" w:hAnsi="Arial" w:cs="Arial"/>
          <w:b/>
          <w:iCs/>
          <w:smallCaps/>
          <w:color w:val="2F5496" w:themeColor="accent1" w:themeShade="BF"/>
          <w:lang w:val="en-US"/>
        </w:rPr>
        <w:t>Case Summary</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2A0234" w:rsidRPr="002A0234" w14:paraId="7BFEDA0A" w14:textId="77777777" w:rsidTr="00982CB2">
        <w:trPr>
          <w:trHeight w:val="567"/>
        </w:trPr>
        <w:tc>
          <w:tcPr>
            <w:tcW w:w="8828" w:type="dxa"/>
          </w:tcPr>
          <w:p w14:paraId="1B7D3D69" w14:textId="1BD41250" w:rsidR="002A0234" w:rsidRDefault="006928FA" w:rsidP="00F018EA">
            <w:pPr>
              <w:spacing w:line="360" w:lineRule="auto"/>
              <w:rPr>
                <w:rFonts w:ascii="Arial" w:hAnsi="Arial" w:cs="Arial"/>
                <w:lang w:val="en-US"/>
              </w:rPr>
            </w:pPr>
            <w:r>
              <w:rPr>
                <w:rFonts w:ascii="Arial" w:hAnsi="Arial" w:cs="Arial"/>
                <w:lang w:val="en-US"/>
              </w:rPr>
              <w:t>Document</w:t>
            </w:r>
            <w:r w:rsidR="002A0234" w:rsidRPr="002A0234">
              <w:rPr>
                <w:rFonts w:ascii="Arial" w:hAnsi="Arial" w:cs="Arial"/>
                <w:lang w:val="en-US"/>
              </w:rPr>
              <w:t>:</w:t>
            </w:r>
            <w:r w:rsidR="00E32552">
              <w:rPr>
                <w:rFonts w:ascii="Arial" w:hAnsi="Arial" w:cs="Arial"/>
                <w:lang w:val="en-US"/>
              </w:rPr>
              <w:t xml:space="preserve"> </w:t>
            </w:r>
          </w:p>
          <w:p w14:paraId="39A401AB" w14:textId="6B742FB4" w:rsidR="001D3448" w:rsidRDefault="00D61C50" w:rsidP="00F018EA">
            <w:pPr>
              <w:spacing w:line="360" w:lineRule="auto"/>
              <w:rPr>
                <w:rFonts w:ascii="Arial" w:hAnsi="Arial" w:cs="Arial"/>
                <w:lang w:val="en-US"/>
              </w:rPr>
            </w:pPr>
            <w:r>
              <w:rPr>
                <w:rFonts w:ascii="Arial" w:hAnsi="Arial" w:cs="Arial"/>
                <w:lang w:val="en-US"/>
              </w:rPr>
              <w:t xml:space="preserve">Payment </w:t>
            </w:r>
            <w:r w:rsidR="001D3448">
              <w:rPr>
                <w:rFonts w:ascii="Arial" w:hAnsi="Arial" w:cs="Arial"/>
                <w:lang w:val="en-US"/>
              </w:rPr>
              <w:t>Receipts</w:t>
            </w:r>
          </w:p>
          <w:p w14:paraId="266B433A" w14:textId="2EA9B492" w:rsidR="005F6D08" w:rsidRPr="002A0234" w:rsidRDefault="005F6D08" w:rsidP="00F018EA">
            <w:pPr>
              <w:spacing w:line="360" w:lineRule="auto"/>
              <w:rPr>
                <w:rFonts w:ascii="Arial" w:hAnsi="Arial" w:cs="Arial"/>
                <w:lang w:val="en-US"/>
              </w:rPr>
            </w:pPr>
          </w:p>
        </w:tc>
      </w:tr>
      <w:tr w:rsidR="009C2DAC" w:rsidRPr="002A0234" w14:paraId="5EDBC4F8" w14:textId="77777777" w:rsidTr="00982CB2">
        <w:trPr>
          <w:trHeight w:val="567"/>
        </w:trPr>
        <w:tc>
          <w:tcPr>
            <w:tcW w:w="8828" w:type="dxa"/>
          </w:tcPr>
          <w:p w14:paraId="4BF74A56" w14:textId="3D50DB54" w:rsidR="009C2DAC" w:rsidRDefault="00030AEE" w:rsidP="00F018EA">
            <w:pPr>
              <w:spacing w:line="360" w:lineRule="auto"/>
              <w:rPr>
                <w:rFonts w:ascii="Arial" w:hAnsi="Arial" w:cs="Arial"/>
                <w:lang w:val="en-US"/>
              </w:rPr>
            </w:pPr>
            <w:r>
              <w:rPr>
                <w:rFonts w:ascii="Arial" w:hAnsi="Arial" w:cs="Arial"/>
                <w:lang w:val="en-US"/>
              </w:rPr>
              <w:t>Information requested</w:t>
            </w:r>
            <w:r w:rsidR="00D75FB3">
              <w:rPr>
                <w:rFonts w:ascii="Arial" w:hAnsi="Arial" w:cs="Arial"/>
                <w:lang w:val="en-US"/>
              </w:rPr>
              <w:t>:</w:t>
            </w:r>
            <w:r w:rsidR="00B83CBB">
              <w:rPr>
                <w:rFonts w:ascii="Arial" w:hAnsi="Arial" w:cs="Arial"/>
                <w:lang w:val="en-US"/>
              </w:rPr>
              <w:t xml:space="preserve"> </w:t>
            </w:r>
          </w:p>
          <w:p w14:paraId="3127FC91" w14:textId="4D899B6D" w:rsidR="00E425DD" w:rsidRPr="009251B5" w:rsidRDefault="009251B5" w:rsidP="009251B5">
            <w:pPr>
              <w:spacing w:line="360" w:lineRule="auto"/>
              <w:rPr>
                <w:rFonts w:ascii="Arial" w:hAnsi="Arial" w:cs="Arial"/>
                <w:lang w:val="en-US"/>
              </w:rPr>
            </w:pPr>
            <w:r w:rsidRPr="009251B5">
              <w:rPr>
                <w:rFonts w:ascii="Arial" w:hAnsi="Arial" w:cs="Arial"/>
                <w:lang w:val="en-US"/>
              </w:rPr>
              <w:t xml:space="preserve">Following </w:t>
            </w:r>
            <w:r w:rsidR="0039376B" w:rsidRPr="009251B5">
              <w:rPr>
                <w:rFonts w:ascii="Arial" w:hAnsi="Arial" w:cs="Arial"/>
                <w:lang w:val="en-US"/>
              </w:rPr>
              <w:t>Information regarding the e</w:t>
            </w:r>
            <w:r w:rsidR="002E1921" w:rsidRPr="009251B5">
              <w:rPr>
                <w:rFonts w:ascii="Arial" w:hAnsi="Arial" w:cs="Arial"/>
                <w:lang w:val="en-US"/>
              </w:rPr>
              <w:t>xpenses spent on the</w:t>
            </w:r>
            <w:r w:rsidR="009C37BB" w:rsidRPr="009251B5">
              <w:rPr>
                <w:rFonts w:ascii="Arial" w:hAnsi="Arial" w:cs="Arial"/>
                <w:lang w:val="en-US"/>
              </w:rPr>
              <w:t xml:space="preserve"> President’s</w:t>
            </w:r>
            <w:r w:rsidR="002E1921" w:rsidRPr="009251B5">
              <w:rPr>
                <w:rFonts w:ascii="Arial" w:hAnsi="Arial" w:cs="Arial"/>
                <w:lang w:val="en-US"/>
              </w:rPr>
              <w:t xml:space="preserve"> </w:t>
            </w:r>
            <w:r w:rsidR="00982453" w:rsidRPr="009251B5">
              <w:rPr>
                <w:rFonts w:ascii="Arial" w:hAnsi="Arial" w:cs="Arial"/>
                <w:lang w:val="en-US"/>
              </w:rPr>
              <w:t xml:space="preserve">trip to </w:t>
            </w:r>
            <w:r w:rsidR="0020122F" w:rsidRPr="009251B5">
              <w:rPr>
                <w:rFonts w:ascii="Arial" w:hAnsi="Arial" w:cs="Arial"/>
                <w:lang w:val="en-US"/>
              </w:rPr>
              <w:t xml:space="preserve">New York to </w:t>
            </w:r>
            <w:r w:rsidR="00982453" w:rsidRPr="009251B5">
              <w:rPr>
                <w:rFonts w:ascii="Arial" w:hAnsi="Arial" w:cs="Arial"/>
                <w:lang w:val="en-US"/>
              </w:rPr>
              <w:t>attend</w:t>
            </w:r>
            <w:r w:rsidR="0020122F" w:rsidRPr="009251B5">
              <w:rPr>
                <w:rFonts w:ascii="Arial" w:hAnsi="Arial" w:cs="Arial"/>
                <w:lang w:val="en-US"/>
              </w:rPr>
              <w:t xml:space="preserve"> the</w:t>
            </w:r>
            <w:r w:rsidR="00982453" w:rsidRPr="009251B5">
              <w:rPr>
                <w:rFonts w:ascii="Arial" w:hAnsi="Arial" w:cs="Arial"/>
                <w:lang w:val="en-US"/>
              </w:rPr>
              <w:t xml:space="preserve"> 76</w:t>
            </w:r>
            <w:r w:rsidR="00982453" w:rsidRPr="009251B5">
              <w:rPr>
                <w:rFonts w:ascii="Arial" w:hAnsi="Arial" w:cs="Arial"/>
                <w:vertAlign w:val="superscript"/>
                <w:lang w:val="en-US"/>
              </w:rPr>
              <w:t>th</w:t>
            </w:r>
            <w:r w:rsidR="0002519F" w:rsidRPr="009251B5">
              <w:rPr>
                <w:rFonts w:ascii="Arial" w:hAnsi="Arial" w:cs="Arial"/>
                <w:vertAlign w:val="superscript"/>
                <w:lang w:val="en-US"/>
              </w:rPr>
              <w:t xml:space="preserve"> </w:t>
            </w:r>
            <w:r w:rsidR="0002519F" w:rsidRPr="009251B5">
              <w:rPr>
                <w:rFonts w:ascii="Arial" w:hAnsi="Arial" w:cs="Arial"/>
                <w:lang w:val="en-US"/>
              </w:rPr>
              <w:t>Session</w:t>
            </w:r>
            <w:r w:rsidR="0020122F" w:rsidRPr="009251B5">
              <w:rPr>
                <w:rFonts w:ascii="Arial" w:hAnsi="Arial" w:cs="Arial"/>
                <w:lang w:val="en-US"/>
              </w:rPr>
              <w:t xml:space="preserve"> of the UN General Assembly</w:t>
            </w:r>
            <w:r w:rsidR="0039376B" w:rsidRPr="009251B5">
              <w:rPr>
                <w:rFonts w:ascii="Arial" w:hAnsi="Arial" w:cs="Arial"/>
                <w:lang w:val="en-US"/>
              </w:rPr>
              <w:t>:</w:t>
            </w:r>
          </w:p>
          <w:p w14:paraId="31D976D6" w14:textId="1891E51A" w:rsidR="0039376B" w:rsidRDefault="00F05064" w:rsidP="003025DC">
            <w:pPr>
              <w:pStyle w:val="ListParagraph"/>
              <w:numPr>
                <w:ilvl w:val="0"/>
                <w:numId w:val="2"/>
              </w:numPr>
              <w:spacing w:line="360" w:lineRule="auto"/>
              <w:rPr>
                <w:rFonts w:ascii="Arial" w:hAnsi="Arial" w:cs="Arial"/>
                <w:lang w:val="en-US"/>
              </w:rPr>
            </w:pPr>
            <w:r>
              <w:rPr>
                <w:rFonts w:ascii="Arial" w:hAnsi="Arial" w:cs="Arial"/>
                <w:lang w:val="en-US"/>
              </w:rPr>
              <w:t>Name</w:t>
            </w:r>
            <w:r w:rsidR="009251B5">
              <w:rPr>
                <w:rFonts w:ascii="Arial" w:hAnsi="Arial" w:cs="Arial"/>
                <w:lang w:val="en-US"/>
              </w:rPr>
              <w:t xml:space="preserve"> and </w:t>
            </w:r>
            <w:r w:rsidR="00873A02">
              <w:rPr>
                <w:rFonts w:ascii="Arial" w:hAnsi="Arial" w:cs="Arial"/>
                <w:lang w:val="en-US"/>
              </w:rPr>
              <w:t>designation</w:t>
            </w:r>
            <w:r>
              <w:rPr>
                <w:rFonts w:ascii="Arial" w:hAnsi="Arial" w:cs="Arial"/>
                <w:lang w:val="en-US"/>
              </w:rPr>
              <w:t xml:space="preserve"> of  p</w:t>
            </w:r>
            <w:r w:rsidR="009B4732">
              <w:rPr>
                <w:rFonts w:ascii="Arial" w:hAnsi="Arial" w:cs="Arial"/>
                <w:lang w:val="en-US"/>
              </w:rPr>
              <w:t>articipants of the trip</w:t>
            </w:r>
            <w:r w:rsidR="00CD2793">
              <w:rPr>
                <w:rFonts w:ascii="Arial" w:hAnsi="Arial" w:cs="Arial"/>
                <w:lang w:val="en-US"/>
              </w:rPr>
              <w:t>;</w:t>
            </w:r>
          </w:p>
          <w:p w14:paraId="6B63F434" w14:textId="0CEC7BE7" w:rsidR="009251B5" w:rsidRDefault="00ED1B61" w:rsidP="003025DC">
            <w:pPr>
              <w:pStyle w:val="ListParagraph"/>
              <w:numPr>
                <w:ilvl w:val="0"/>
                <w:numId w:val="2"/>
              </w:numPr>
              <w:spacing w:line="360" w:lineRule="auto"/>
              <w:rPr>
                <w:rFonts w:ascii="Arial" w:hAnsi="Arial" w:cs="Arial"/>
                <w:lang w:val="en-US"/>
              </w:rPr>
            </w:pPr>
            <w:r>
              <w:rPr>
                <w:rFonts w:ascii="Arial" w:hAnsi="Arial" w:cs="Arial"/>
                <w:lang w:val="en-US"/>
              </w:rPr>
              <w:lastRenderedPageBreak/>
              <w:t>Total expenses spent</w:t>
            </w:r>
            <w:r w:rsidR="00781425">
              <w:rPr>
                <w:rFonts w:ascii="Arial" w:hAnsi="Arial" w:cs="Arial"/>
                <w:lang w:val="en-US"/>
              </w:rPr>
              <w:t xml:space="preserve"> and the segregated details </w:t>
            </w:r>
            <w:r w:rsidR="00F3418B">
              <w:rPr>
                <w:rFonts w:ascii="Arial" w:hAnsi="Arial" w:cs="Arial"/>
                <w:lang w:val="en-US"/>
              </w:rPr>
              <w:t>of expenses</w:t>
            </w:r>
            <w:r w:rsidR="00CD2793">
              <w:rPr>
                <w:rFonts w:ascii="Arial" w:hAnsi="Arial" w:cs="Arial"/>
                <w:lang w:val="en-US"/>
              </w:rPr>
              <w:t>; and</w:t>
            </w:r>
          </w:p>
          <w:p w14:paraId="120181C3" w14:textId="4C9B3CCC" w:rsidR="00F3418B" w:rsidRDefault="00717CE8" w:rsidP="003025DC">
            <w:pPr>
              <w:pStyle w:val="ListParagraph"/>
              <w:numPr>
                <w:ilvl w:val="0"/>
                <w:numId w:val="2"/>
              </w:numPr>
              <w:spacing w:line="360" w:lineRule="auto"/>
              <w:rPr>
                <w:rFonts w:ascii="Arial" w:hAnsi="Arial" w:cs="Arial"/>
                <w:lang w:val="en-US"/>
              </w:rPr>
            </w:pPr>
            <w:r>
              <w:rPr>
                <w:rFonts w:ascii="Arial" w:hAnsi="Arial" w:cs="Arial"/>
                <w:lang w:val="en-US"/>
              </w:rPr>
              <w:t>Receipts of all the expenses</w:t>
            </w:r>
          </w:p>
        </w:tc>
      </w:tr>
      <w:tr w:rsidR="002A0234" w:rsidRPr="002A0234" w14:paraId="284070F0" w14:textId="77777777" w:rsidTr="00982CB2">
        <w:trPr>
          <w:trHeight w:val="567"/>
        </w:trPr>
        <w:tc>
          <w:tcPr>
            <w:tcW w:w="8828" w:type="dxa"/>
          </w:tcPr>
          <w:p w14:paraId="3484804F" w14:textId="0B2CD8B1" w:rsidR="002A0234" w:rsidRDefault="00030AEE" w:rsidP="00F018EA">
            <w:pPr>
              <w:spacing w:line="360" w:lineRule="auto"/>
              <w:rPr>
                <w:rFonts w:ascii="Arial" w:hAnsi="Arial" w:cs="Arial"/>
                <w:lang w:val="en-US"/>
              </w:rPr>
            </w:pPr>
            <w:r>
              <w:rPr>
                <w:rFonts w:ascii="Arial" w:hAnsi="Arial" w:cs="Arial"/>
                <w:lang w:val="en-US"/>
              </w:rPr>
              <w:lastRenderedPageBreak/>
              <w:t>Public entity answer</w:t>
            </w:r>
            <w:r w:rsidR="002A0234" w:rsidRPr="002A0234">
              <w:rPr>
                <w:rFonts w:ascii="Arial" w:hAnsi="Arial" w:cs="Arial"/>
                <w:lang w:val="en-US"/>
              </w:rPr>
              <w:t>:</w:t>
            </w:r>
          </w:p>
          <w:p w14:paraId="51974D85" w14:textId="50E25493" w:rsidR="00C01ACF" w:rsidRDefault="00BE5FD7" w:rsidP="00F018EA">
            <w:pPr>
              <w:spacing w:line="360" w:lineRule="auto"/>
              <w:rPr>
                <w:rFonts w:ascii="Arial" w:hAnsi="Arial" w:cs="Arial"/>
                <w:lang w:val="en-US"/>
              </w:rPr>
            </w:pPr>
            <w:r>
              <w:rPr>
                <w:rFonts w:ascii="Arial" w:hAnsi="Arial" w:cs="Arial"/>
                <w:lang w:val="en-US"/>
              </w:rPr>
              <w:t>Information</w:t>
            </w:r>
            <w:r w:rsidR="00750AB6">
              <w:rPr>
                <w:rFonts w:ascii="Arial" w:hAnsi="Arial" w:cs="Arial"/>
                <w:lang w:val="en-US"/>
              </w:rPr>
              <w:t xml:space="preserve"> requested in number 1 and 2 were provided. However,</w:t>
            </w:r>
            <w:r w:rsidR="000E0196">
              <w:rPr>
                <w:rFonts w:ascii="Arial" w:hAnsi="Arial" w:cs="Arial"/>
                <w:lang w:val="en-US"/>
              </w:rPr>
              <w:t xml:space="preserve"> information requested in number 3,</w:t>
            </w:r>
            <w:r w:rsidR="00750AB6">
              <w:rPr>
                <w:rFonts w:ascii="Arial" w:hAnsi="Arial" w:cs="Arial"/>
                <w:lang w:val="en-US"/>
              </w:rPr>
              <w:t xml:space="preserve"> the copy of the receipts were withheld </w:t>
            </w:r>
            <w:r w:rsidR="00FB6EDC">
              <w:rPr>
                <w:rFonts w:ascii="Arial" w:hAnsi="Arial" w:cs="Arial"/>
                <w:lang w:val="en-US"/>
              </w:rPr>
              <w:t xml:space="preserve">on the grounds that </w:t>
            </w:r>
            <w:r w:rsidR="001C70AB">
              <w:rPr>
                <w:rFonts w:ascii="Arial" w:hAnsi="Arial" w:cs="Arial"/>
                <w:lang w:val="en-US"/>
              </w:rPr>
              <w:t xml:space="preserve">it includes </w:t>
            </w:r>
            <w:r w:rsidR="00F8626D">
              <w:rPr>
                <w:rFonts w:ascii="Arial" w:hAnsi="Arial" w:cs="Arial"/>
                <w:lang w:val="en-US"/>
              </w:rPr>
              <w:t xml:space="preserve">personal information </w:t>
            </w:r>
            <w:r w:rsidR="00644160">
              <w:rPr>
                <w:rFonts w:ascii="Arial" w:hAnsi="Arial" w:cs="Arial"/>
                <w:lang w:val="en-US"/>
              </w:rPr>
              <w:t xml:space="preserve">and </w:t>
            </w:r>
            <w:r w:rsidR="00DF0D81">
              <w:rPr>
                <w:rFonts w:ascii="Arial" w:hAnsi="Arial" w:cs="Arial"/>
                <w:lang w:val="en-US"/>
              </w:rPr>
              <w:t xml:space="preserve">cannot be </w:t>
            </w:r>
            <w:r w:rsidR="00731FE6">
              <w:rPr>
                <w:rFonts w:ascii="Arial" w:hAnsi="Arial" w:cs="Arial"/>
                <w:lang w:val="en-US"/>
              </w:rPr>
              <w:t>disclosed due to security reasons.</w:t>
            </w:r>
            <w:r w:rsidR="00DF0D81">
              <w:rPr>
                <w:rFonts w:ascii="Arial" w:hAnsi="Arial" w:cs="Arial"/>
                <w:lang w:val="en-US"/>
              </w:rPr>
              <w:t xml:space="preserve">  </w:t>
            </w:r>
            <w:r w:rsidR="00FB6EDC">
              <w:rPr>
                <w:rFonts w:ascii="Arial" w:hAnsi="Arial" w:cs="Arial"/>
                <w:lang w:val="en-US"/>
              </w:rPr>
              <w:t xml:space="preserve"> </w:t>
            </w:r>
          </w:p>
          <w:p w14:paraId="2766A7CF" w14:textId="5469A174" w:rsidR="005F6D08" w:rsidRPr="002A0234" w:rsidRDefault="005F6D08" w:rsidP="00F018EA">
            <w:pPr>
              <w:spacing w:line="360" w:lineRule="auto"/>
              <w:rPr>
                <w:rFonts w:ascii="Arial" w:hAnsi="Arial" w:cs="Arial"/>
                <w:lang w:val="en-US"/>
              </w:rPr>
            </w:pPr>
          </w:p>
        </w:tc>
      </w:tr>
      <w:tr w:rsidR="008D58F1" w:rsidRPr="00030AEE" w14:paraId="7B48E5E1" w14:textId="77777777" w:rsidTr="00982CB2">
        <w:trPr>
          <w:trHeight w:val="567"/>
        </w:trPr>
        <w:tc>
          <w:tcPr>
            <w:tcW w:w="8828" w:type="dxa"/>
          </w:tcPr>
          <w:p w14:paraId="2849B7C5" w14:textId="2DBE93A6" w:rsidR="008D58F1" w:rsidRDefault="009C7139" w:rsidP="00F018EA">
            <w:pPr>
              <w:spacing w:line="360" w:lineRule="auto"/>
              <w:rPr>
                <w:rFonts w:ascii="Arial" w:hAnsi="Arial" w:cs="Arial"/>
                <w:lang w:val="en-US"/>
              </w:rPr>
            </w:pPr>
            <w:r>
              <w:rPr>
                <w:rFonts w:ascii="Arial" w:hAnsi="Arial" w:cs="Arial"/>
                <w:lang w:val="en-US"/>
              </w:rPr>
              <w:t>D</w:t>
            </w:r>
            <w:r w:rsidRPr="009C7139">
              <w:rPr>
                <w:rFonts w:ascii="Arial" w:hAnsi="Arial" w:cs="Arial"/>
                <w:lang w:val="en-US"/>
              </w:rPr>
              <w:t>isagreement</w:t>
            </w:r>
            <w:r w:rsidR="00030AEE">
              <w:rPr>
                <w:rFonts w:ascii="Arial" w:hAnsi="Arial" w:cs="Arial"/>
                <w:lang w:val="en-US"/>
              </w:rPr>
              <w:t xml:space="preserve"> </w:t>
            </w:r>
            <w:r w:rsidR="00BE6A52">
              <w:rPr>
                <w:rFonts w:ascii="Arial" w:hAnsi="Arial" w:cs="Arial"/>
                <w:lang w:val="en-US"/>
              </w:rPr>
              <w:t>(</w:t>
            </w:r>
            <w:r w:rsidR="00BE6A52" w:rsidRPr="00BE6A52">
              <w:rPr>
                <w:rFonts w:ascii="Arial" w:hAnsi="Arial" w:cs="Arial"/>
                <w:lang w:val="en-US"/>
              </w:rPr>
              <w:t xml:space="preserve">argument </w:t>
            </w:r>
            <w:r w:rsidR="00030AEE" w:rsidRPr="00BE6A52">
              <w:rPr>
                <w:rFonts w:ascii="Arial" w:hAnsi="Arial" w:cs="Arial"/>
                <w:lang w:val="en-US"/>
              </w:rPr>
              <w:t>that originates the presentation of the appeal</w:t>
            </w:r>
            <w:r w:rsidR="00BE6A52">
              <w:rPr>
                <w:rFonts w:ascii="Arial" w:hAnsi="Arial" w:cs="Arial"/>
                <w:lang w:val="en-US"/>
              </w:rPr>
              <w:t>):</w:t>
            </w:r>
          </w:p>
          <w:p w14:paraId="4365C70C" w14:textId="77777777" w:rsidR="0084322E" w:rsidRDefault="0084322E" w:rsidP="00F018EA">
            <w:pPr>
              <w:spacing w:line="360" w:lineRule="auto"/>
              <w:rPr>
                <w:rFonts w:asciiTheme="minorBidi" w:hAnsiTheme="minorBidi"/>
                <w:lang w:val="en-US"/>
              </w:rPr>
            </w:pPr>
          </w:p>
          <w:p w14:paraId="0E0F336E" w14:textId="18FE4FAB" w:rsidR="00F41DB7" w:rsidRPr="00D33AFA" w:rsidRDefault="0097596A" w:rsidP="00F018EA">
            <w:pPr>
              <w:spacing w:line="360" w:lineRule="auto"/>
              <w:rPr>
                <w:rFonts w:asciiTheme="minorBidi" w:hAnsiTheme="minorBidi"/>
                <w:lang w:val="en-US"/>
              </w:rPr>
            </w:pPr>
            <w:r w:rsidRPr="00D33AFA">
              <w:rPr>
                <w:rFonts w:asciiTheme="minorBidi" w:hAnsiTheme="minorBidi"/>
                <w:lang w:val="en-US"/>
              </w:rPr>
              <w:t xml:space="preserve">The </w:t>
            </w:r>
            <w:r w:rsidR="00134EC0" w:rsidRPr="00D33AFA">
              <w:rPr>
                <w:rFonts w:asciiTheme="minorBidi" w:hAnsiTheme="minorBidi"/>
                <w:lang w:val="en-US"/>
              </w:rPr>
              <w:t xml:space="preserve">public </w:t>
            </w:r>
            <w:r w:rsidR="00D33AFA" w:rsidRPr="00D33AFA">
              <w:rPr>
                <w:rFonts w:asciiTheme="minorBidi" w:hAnsiTheme="minorBidi"/>
                <w:lang w:val="en-US"/>
              </w:rPr>
              <w:t>institution’s</w:t>
            </w:r>
            <w:r w:rsidRPr="00D33AFA">
              <w:rPr>
                <w:rFonts w:asciiTheme="minorBidi" w:hAnsiTheme="minorBidi"/>
                <w:lang w:val="en-US"/>
              </w:rPr>
              <w:t xml:space="preserve"> main argument was </w:t>
            </w:r>
            <w:r w:rsidR="00AE6E60" w:rsidRPr="00D33AFA">
              <w:rPr>
                <w:rFonts w:asciiTheme="minorBidi" w:hAnsiTheme="minorBidi"/>
                <w:lang w:val="en-US"/>
              </w:rPr>
              <w:t xml:space="preserve">that </w:t>
            </w:r>
            <w:r w:rsidR="00D456FA">
              <w:rPr>
                <w:rFonts w:asciiTheme="minorBidi" w:hAnsiTheme="minorBidi"/>
                <w:lang w:val="en-US"/>
              </w:rPr>
              <w:t>it is</w:t>
            </w:r>
            <w:r w:rsidR="0084322E">
              <w:rPr>
                <w:rFonts w:asciiTheme="minorBidi" w:hAnsiTheme="minorBidi"/>
                <w:lang w:val="en-US"/>
              </w:rPr>
              <w:t xml:space="preserve"> </w:t>
            </w:r>
            <w:r w:rsidR="00601407" w:rsidRPr="00D33AFA">
              <w:rPr>
                <w:rFonts w:asciiTheme="minorBidi" w:hAnsiTheme="minorBidi"/>
                <w:lang w:val="en-US"/>
              </w:rPr>
              <w:t>perc</w:t>
            </w:r>
            <w:r w:rsidR="00D07D81" w:rsidRPr="00D33AFA">
              <w:rPr>
                <w:rFonts w:asciiTheme="minorBidi" w:hAnsiTheme="minorBidi"/>
                <w:lang w:val="en-US"/>
              </w:rPr>
              <w:t>eive</w:t>
            </w:r>
            <w:r w:rsidR="0084322E">
              <w:rPr>
                <w:rFonts w:asciiTheme="minorBidi" w:hAnsiTheme="minorBidi"/>
                <w:lang w:val="en-US"/>
              </w:rPr>
              <w:t>d</w:t>
            </w:r>
            <w:r w:rsidR="00D07D81" w:rsidRPr="00D33AFA">
              <w:rPr>
                <w:rFonts w:asciiTheme="minorBidi" w:hAnsiTheme="minorBidi"/>
                <w:lang w:val="en-US"/>
              </w:rPr>
              <w:t xml:space="preserve"> from the law that </w:t>
            </w:r>
            <w:r w:rsidR="006A77D2">
              <w:rPr>
                <w:rFonts w:asciiTheme="minorBidi" w:hAnsiTheme="minorBidi"/>
                <w:lang w:val="en-US"/>
              </w:rPr>
              <w:t xml:space="preserve">the definition of </w:t>
            </w:r>
            <w:r w:rsidR="00D07D81" w:rsidRPr="00D33AFA">
              <w:rPr>
                <w:rFonts w:asciiTheme="minorBidi" w:hAnsiTheme="minorBidi"/>
                <w:lang w:val="en-US"/>
              </w:rPr>
              <w:t xml:space="preserve">information </w:t>
            </w:r>
            <w:r w:rsidR="002405F1" w:rsidRPr="00D33AFA">
              <w:rPr>
                <w:rFonts w:asciiTheme="minorBidi" w:hAnsiTheme="minorBidi"/>
                <w:lang w:val="en-US"/>
              </w:rPr>
              <w:t xml:space="preserve">does not include the document in which information </w:t>
            </w:r>
            <w:r w:rsidR="00C85D70">
              <w:rPr>
                <w:rFonts w:asciiTheme="minorBidi" w:hAnsiTheme="minorBidi"/>
                <w:lang w:val="en-US"/>
              </w:rPr>
              <w:t>is</w:t>
            </w:r>
            <w:r w:rsidR="002405F1" w:rsidRPr="00D33AFA">
              <w:rPr>
                <w:rFonts w:asciiTheme="minorBidi" w:hAnsiTheme="minorBidi"/>
                <w:lang w:val="en-US"/>
              </w:rPr>
              <w:t xml:space="preserve"> held</w:t>
            </w:r>
            <w:r w:rsidR="00C85D70">
              <w:rPr>
                <w:rFonts w:asciiTheme="minorBidi" w:hAnsiTheme="minorBidi"/>
                <w:lang w:val="en-US"/>
              </w:rPr>
              <w:t xml:space="preserve"> and that i</w:t>
            </w:r>
            <w:r w:rsidR="00046F2D">
              <w:rPr>
                <w:rFonts w:asciiTheme="minorBidi" w:hAnsiTheme="minorBidi"/>
                <w:lang w:val="en-US"/>
              </w:rPr>
              <w:t>t is sufficient that the requested information is extracted</w:t>
            </w:r>
            <w:r w:rsidR="00090C5B">
              <w:rPr>
                <w:rFonts w:asciiTheme="minorBidi" w:hAnsiTheme="minorBidi"/>
                <w:lang w:val="en-US"/>
              </w:rPr>
              <w:t xml:space="preserve"> and</w:t>
            </w:r>
            <w:r w:rsidR="00046F2D">
              <w:rPr>
                <w:rFonts w:asciiTheme="minorBidi" w:hAnsiTheme="minorBidi"/>
                <w:lang w:val="en-US"/>
              </w:rPr>
              <w:t xml:space="preserve"> </w:t>
            </w:r>
            <w:r w:rsidR="00D223E1">
              <w:rPr>
                <w:rFonts w:asciiTheme="minorBidi" w:hAnsiTheme="minorBidi"/>
                <w:lang w:val="en-US"/>
              </w:rPr>
              <w:t>disclosed to the applicant</w:t>
            </w:r>
            <w:r w:rsidR="00F13B8F">
              <w:rPr>
                <w:rFonts w:asciiTheme="minorBidi" w:hAnsiTheme="minorBidi"/>
                <w:lang w:val="en-US"/>
              </w:rPr>
              <w:t xml:space="preserve"> and it is not necessary to disclose the</w:t>
            </w:r>
            <w:r w:rsidR="00044EC1">
              <w:rPr>
                <w:rFonts w:asciiTheme="minorBidi" w:hAnsiTheme="minorBidi"/>
                <w:lang w:val="en-US"/>
              </w:rPr>
              <w:t xml:space="preserve"> copy of</w:t>
            </w:r>
            <w:r w:rsidR="00F13B8F">
              <w:rPr>
                <w:rFonts w:asciiTheme="minorBidi" w:hAnsiTheme="minorBidi"/>
                <w:lang w:val="en-US"/>
              </w:rPr>
              <w:t xml:space="preserve"> requested document</w:t>
            </w:r>
            <w:r w:rsidR="00044EC1">
              <w:rPr>
                <w:rFonts w:asciiTheme="minorBidi" w:hAnsiTheme="minorBidi"/>
                <w:lang w:val="en-US"/>
              </w:rPr>
              <w:t xml:space="preserve"> itself.</w:t>
            </w:r>
          </w:p>
          <w:p w14:paraId="09D60739" w14:textId="0CC2F526" w:rsidR="0097596A" w:rsidRPr="00D33AFA" w:rsidRDefault="00D223E1" w:rsidP="00F018EA">
            <w:pPr>
              <w:spacing w:line="360" w:lineRule="auto"/>
              <w:rPr>
                <w:rFonts w:asciiTheme="minorBidi" w:hAnsiTheme="minorBidi"/>
                <w:lang w:val="en-US"/>
              </w:rPr>
            </w:pPr>
            <w:r>
              <w:rPr>
                <w:rFonts w:asciiTheme="minorBidi" w:hAnsiTheme="minorBidi"/>
                <w:lang w:val="en-US"/>
              </w:rPr>
              <w:t>Section 72 of the RTI Act 2</w:t>
            </w:r>
            <w:r w:rsidR="00123F9D">
              <w:rPr>
                <w:rFonts w:asciiTheme="minorBidi" w:hAnsiTheme="minorBidi"/>
                <w:lang w:val="en-US"/>
              </w:rPr>
              <w:t>014</w:t>
            </w:r>
            <w:r w:rsidR="00CF4D2A" w:rsidRPr="00D33AFA">
              <w:rPr>
                <w:rFonts w:asciiTheme="minorBidi" w:hAnsiTheme="minorBidi"/>
                <w:lang w:val="en-US"/>
              </w:rPr>
              <w:t xml:space="preserve"> </w:t>
            </w:r>
            <w:r w:rsidR="00AE6E60" w:rsidRPr="00D33AFA">
              <w:rPr>
                <w:rFonts w:asciiTheme="minorBidi" w:hAnsiTheme="minorBidi"/>
                <w:lang w:val="en-US"/>
              </w:rPr>
              <w:t>“</w:t>
            </w:r>
            <w:r w:rsidR="00D33AFA" w:rsidRPr="00D33AFA">
              <w:rPr>
                <w:rFonts w:asciiTheme="minorBidi" w:hAnsiTheme="minorBidi"/>
                <w:lang w:val="en-US"/>
              </w:rPr>
              <w:t>information</w:t>
            </w:r>
            <w:r w:rsidR="00AE6E60" w:rsidRPr="00D33AFA">
              <w:rPr>
                <w:rFonts w:asciiTheme="minorBidi" w:hAnsiTheme="minorBidi"/>
                <w:lang w:val="en-US"/>
              </w:rPr>
              <w:t xml:space="preserve">” is defined as </w:t>
            </w:r>
            <w:r w:rsidR="00B93462" w:rsidRPr="00D33AFA">
              <w:rPr>
                <w:rFonts w:asciiTheme="minorBidi" w:hAnsiTheme="minorBidi"/>
              </w:rPr>
              <w:t>any kind of information, or any information produced at any given date, or any information produced by any party, or any information</w:t>
            </w:r>
            <w:r w:rsidR="00DC084D" w:rsidRPr="00D33AFA">
              <w:rPr>
                <w:rFonts w:asciiTheme="minorBidi" w:hAnsiTheme="minorBidi"/>
              </w:rPr>
              <w:t xml:space="preserve"> stored in any device, held and managed by a State Institute, which does not belong to a third party;” </w:t>
            </w:r>
          </w:p>
          <w:p w14:paraId="46425F25" w14:textId="54A23C82" w:rsidR="005F6D08" w:rsidRPr="002A0234" w:rsidRDefault="005F6D08" w:rsidP="00F018EA">
            <w:pPr>
              <w:spacing w:line="360" w:lineRule="auto"/>
              <w:rPr>
                <w:rFonts w:ascii="Arial" w:hAnsi="Arial" w:cs="Arial"/>
                <w:lang w:val="en-US"/>
              </w:rPr>
            </w:pPr>
          </w:p>
        </w:tc>
      </w:tr>
      <w:tr w:rsidR="007D1297" w:rsidRPr="002A0234" w14:paraId="7D15B84A" w14:textId="77777777" w:rsidTr="00982CB2">
        <w:trPr>
          <w:trHeight w:val="567"/>
        </w:trPr>
        <w:tc>
          <w:tcPr>
            <w:tcW w:w="8828" w:type="dxa"/>
          </w:tcPr>
          <w:p w14:paraId="55E22FA4" w14:textId="614A8057" w:rsidR="007D1297" w:rsidRPr="00C36B06" w:rsidRDefault="005F6D08" w:rsidP="00F018EA">
            <w:pPr>
              <w:spacing w:line="360" w:lineRule="auto"/>
              <w:rPr>
                <w:rFonts w:asciiTheme="minorBidi" w:hAnsiTheme="minorBidi"/>
                <w:lang w:val="en-US"/>
              </w:rPr>
            </w:pPr>
            <w:r w:rsidRPr="00C36B06">
              <w:rPr>
                <w:rFonts w:asciiTheme="minorBidi" w:hAnsiTheme="minorBidi"/>
                <w:lang w:val="en-US"/>
              </w:rPr>
              <w:t>Resolution:</w:t>
            </w:r>
          </w:p>
          <w:p w14:paraId="31C99FC1" w14:textId="746538E8" w:rsidR="00D33AFA" w:rsidRPr="00C36B06" w:rsidRDefault="006F10A9" w:rsidP="00F018EA">
            <w:pPr>
              <w:spacing w:line="360" w:lineRule="auto"/>
              <w:rPr>
                <w:rFonts w:asciiTheme="minorBidi" w:hAnsiTheme="minorBidi"/>
                <w:color w:val="000000"/>
                <w:shd w:val="clear" w:color="auto" w:fill="FFFFFF"/>
              </w:rPr>
            </w:pPr>
            <w:r w:rsidRPr="00C36B06">
              <w:rPr>
                <w:rFonts w:asciiTheme="minorBidi" w:hAnsiTheme="minorBidi"/>
                <w:color w:val="000000"/>
                <w:shd w:val="clear" w:color="auto" w:fill="FFFFFF"/>
              </w:rPr>
              <w:t xml:space="preserve">The copies of the receipts </w:t>
            </w:r>
            <w:r w:rsidR="00C36B06">
              <w:rPr>
                <w:rFonts w:asciiTheme="minorBidi" w:hAnsiTheme="minorBidi"/>
                <w:color w:val="000000"/>
                <w:shd w:val="clear" w:color="auto" w:fill="FFFFFF"/>
              </w:rPr>
              <w:t xml:space="preserve">must </w:t>
            </w:r>
            <w:r w:rsidRPr="00C36B06">
              <w:rPr>
                <w:rFonts w:asciiTheme="minorBidi" w:hAnsiTheme="minorBidi"/>
                <w:color w:val="000000"/>
                <w:shd w:val="clear" w:color="auto" w:fill="FFFFFF"/>
              </w:rPr>
              <w:t xml:space="preserve">be disclosed </w:t>
            </w:r>
            <w:r w:rsidR="008E3438" w:rsidRPr="00C36B06">
              <w:rPr>
                <w:rFonts w:asciiTheme="minorBidi" w:hAnsiTheme="minorBidi"/>
                <w:color w:val="000000"/>
                <w:shd w:val="clear" w:color="auto" w:fill="FFFFFF"/>
              </w:rPr>
              <w:t>and</w:t>
            </w:r>
            <w:r w:rsidR="00DC2561">
              <w:rPr>
                <w:rFonts w:asciiTheme="minorBidi" w:hAnsiTheme="minorBidi"/>
                <w:color w:val="000000"/>
                <w:shd w:val="clear" w:color="auto" w:fill="FFFFFF"/>
              </w:rPr>
              <w:t xml:space="preserve"> that</w:t>
            </w:r>
            <w:r w:rsidR="008E3438" w:rsidRPr="00C36B06">
              <w:rPr>
                <w:rFonts w:asciiTheme="minorBidi" w:hAnsiTheme="minorBidi"/>
                <w:color w:val="000000"/>
                <w:shd w:val="clear" w:color="auto" w:fill="FFFFFF"/>
              </w:rPr>
              <w:t xml:space="preserve"> t</w:t>
            </w:r>
            <w:r w:rsidR="00D33AFA" w:rsidRPr="00C36B06">
              <w:rPr>
                <w:rFonts w:asciiTheme="minorBidi" w:hAnsiTheme="minorBidi"/>
                <w:color w:val="000000"/>
                <w:shd w:val="clear" w:color="auto" w:fill="FFFFFF"/>
              </w:rPr>
              <w:t xml:space="preserve">he right of access applies to all material held by or on behalf of public authorities which is recorded in any format. </w:t>
            </w:r>
          </w:p>
          <w:p w14:paraId="350E350B" w14:textId="5E304D29" w:rsidR="005F6D08" w:rsidRDefault="00537855" w:rsidP="003B6445">
            <w:pPr>
              <w:spacing w:line="360" w:lineRule="auto"/>
              <w:rPr>
                <w:rFonts w:ascii="Arial" w:hAnsi="Arial" w:cs="Arial"/>
                <w:lang w:val="en-US"/>
              </w:rPr>
            </w:pPr>
            <w:r w:rsidRPr="00C36B06">
              <w:rPr>
                <w:rFonts w:asciiTheme="minorBidi" w:hAnsiTheme="minorBidi"/>
              </w:rPr>
              <w:t>If the document consist</w:t>
            </w:r>
            <w:r w:rsidR="00DC2561">
              <w:rPr>
                <w:rFonts w:asciiTheme="minorBidi" w:hAnsiTheme="minorBidi"/>
              </w:rPr>
              <w:t>s o</w:t>
            </w:r>
            <w:r w:rsidRPr="00C36B06">
              <w:rPr>
                <w:rFonts w:asciiTheme="minorBidi" w:hAnsiTheme="minorBidi"/>
              </w:rPr>
              <w:t>f information that falls unde</w:t>
            </w:r>
            <w:r w:rsidR="000733E5">
              <w:rPr>
                <w:rFonts w:asciiTheme="minorBidi" w:hAnsiTheme="minorBidi"/>
              </w:rPr>
              <w:t>r</w:t>
            </w:r>
            <w:r w:rsidR="00C36B06" w:rsidRPr="00C36B06">
              <w:rPr>
                <w:rFonts w:asciiTheme="minorBidi" w:hAnsiTheme="minorBidi"/>
              </w:rPr>
              <w:t xml:space="preserve"> an exemption that part to be omitted and provided</w:t>
            </w:r>
            <w:r w:rsidR="000733E5">
              <w:rPr>
                <w:rFonts w:asciiTheme="minorBidi" w:hAnsiTheme="minorBidi"/>
              </w:rPr>
              <w:t xml:space="preserve"> as the Section 21 of RTI Act  2014</w:t>
            </w:r>
            <w:r w:rsidR="00BC5F6A">
              <w:rPr>
                <w:rFonts w:asciiTheme="minorBidi" w:hAnsiTheme="minorBidi"/>
              </w:rPr>
              <w:t xml:space="preserve"> </w:t>
            </w:r>
            <w:r w:rsidR="00BC5F6A" w:rsidRPr="003B6445">
              <w:rPr>
                <w:rFonts w:asciiTheme="minorBidi" w:hAnsiTheme="minorBidi"/>
              </w:rPr>
              <w:t>provides</w:t>
            </w:r>
            <w:r w:rsidR="003B6445" w:rsidRPr="003B6445">
              <w:rPr>
                <w:rFonts w:asciiTheme="minorBidi" w:hAnsiTheme="minorBidi"/>
              </w:rPr>
              <w:t xml:space="preserve"> that, “where an application is made for access to information, and part of that information is exempted from disclosure under this Act, having removed the exempted part, the remaining part of the information shall be released.</w:t>
            </w:r>
            <w:r w:rsidR="000733E5">
              <w:rPr>
                <w:rFonts w:asciiTheme="minorBidi" w:hAnsiTheme="minorBidi"/>
              </w:rPr>
              <w:t xml:space="preserve"> </w:t>
            </w:r>
          </w:p>
        </w:tc>
      </w:tr>
      <w:tr w:rsidR="002A0234" w:rsidRPr="002A0234" w14:paraId="45AE343E" w14:textId="77777777" w:rsidTr="00982CB2">
        <w:trPr>
          <w:trHeight w:val="567"/>
        </w:trPr>
        <w:tc>
          <w:tcPr>
            <w:tcW w:w="8828" w:type="dxa"/>
          </w:tcPr>
          <w:p w14:paraId="32B0F5FF" w14:textId="03D78C1B" w:rsidR="002A0234" w:rsidRDefault="007D1297" w:rsidP="00F018EA">
            <w:pPr>
              <w:spacing w:line="360" w:lineRule="auto"/>
              <w:rPr>
                <w:rFonts w:ascii="Arial" w:hAnsi="Arial" w:cs="Arial"/>
                <w:lang w:val="en-US"/>
              </w:rPr>
            </w:pPr>
            <w:r>
              <w:rPr>
                <w:rFonts w:ascii="Arial" w:hAnsi="Arial" w:cs="Arial"/>
                <w:lang w:val="en-US"/>
              </w:rPr>
              <w:t>Relevance</w:t>
            </w:r>
            <w:r w:rsidR="009C7139">
              <w:rPr>
                <w:rFonts w:ascii="Arial" w:hAnsi="Arial" w:cs="Arial"/>
                <w:lang w:val="en-US"/>
              </w:rPr>
              <w:t xml:space="preserve"> of the case</w:t>
            </w:r>
            <w:r w:rsidR="002A0234" w:rsidRPr="002A0234">
              <w:rPr>
                <w:rFonts w:ascii="Arial" w:hAnsi="Arial" w:cs="Arial"/>
                <w:lang w:val="en-US"/>
              </w:rPr>
              <w:t>:</w:t>
            </w:r>
          </w:p>
          <w:p w14:paraId="520ECEB3" w14:textId="0936D760" w:rsidR="008C2568" w:rsidRDefault="00F56F12" w:rsidP="008C2568">
            <w:pPr>
              <w:spacing w:line="360" w:lineRule="auto"/>
              <w:rPr>
                <w:rFonts w:ascii="Arial" w:eastAsia="Times New Roman" w:hAnsi="Arial" w:cs="Arial"/>
                <w:lang w:val="en-US" w:eastAsia="en-GB"/>
              </w:rPr>
            </w:pPr>
            <w:sdt>
              <w:sdtPr>
                <w:rPr>
                  <w:rFonts w:ascii="Arial" w:eastAsia="Times New Roman" w:hAnsi="Arial" w:cs="Arial"/>
                  <w:lang w:val="en-US" w:eastAsia="en-GB"/>
                </w:rPr>
                <w:id w:val="-196162335"/>
                <w14:checkbox>
                  <w14:checked w14:val="1"/>
                  <w14:checkedState w14:val="2612" w14:font="MS Gothic"/>
                  <w14:uncheckedState w14:val="2610" w14:font="MS Gothic"/>
                </w14:checkbox>
              </w:sdtPr>
              <w:sdtContent>
                <w:r w:rsidR="000733E5">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w:t>
            </w:r>
            <w:r w:rsidR="008C2568">
              <w:rPr>
                <w:rFonts w:ascii="Arial" w:eastAsia="Times New Roman" w:hAnsi="Arial" w:cs="Arial"/>
                <w:lang w:val="en-US" w:eastAsia="en-GB"/>
              </w:rPr>
              <w:t>Principles of RTI</w:t>
            </w:r>
            <w:r w:rsidR="009C7FDA">
              <w:rPr>
                <w:rFonts w:ascii="Arial" w:eastAsia="Times New Roman" w:hAnsi="Arial" w:cs="Arial"/>
                <w:lang w:val="en-US" w:eastAsia="en-GB"/>
              </w:rPr>
              <w:t>.</w:t>
            </w:r>
          </w:p>
          <w:p w14:paraId="1D1C8AA9" w14:textId="6614F495" w:rsidR="008C2568" w:rsidRPr="002C75F0" w:rsidRDefault="00F56F12" w:rsidP="008C2568">
            <w:pPr>
              <w:spacing w:line="360" w:lineRule="auto"/>
              <w:rPr>
                <w:rFonts w:ascii="Arial" w:hAnsi="Arial" w:cs="Arial"/>
                <w:lang w:val="en-US"/>
              </w:rPr>
            </w:pPr>
            <w:sdt>
              <w:sdtPr>
                <w:rPr>
                  <w:rFonts w:ascii="Arial" w:eastAsia="Times New Roman" w:hAnsi="Arial" w:cs="Arial"/>
                  <w:lang w:val="en-US" w:eastAsia="en-GB"/>
                </w:rPr>
                <w:id w:val="1942793903"/>
                <w14:checkbox>
                  <w14:checked w14:val="1"/>
                  <w14:checkedState w14:val="2612" w14:font="MS Gothic"/>
                  <w14:uncheckedState w14:val="2610" w14:font="MS Gothic"/>
                </w14:checkbox>
              </w:sdtPr>
              <w:sdtContent>
                <w:r w:rsidR="00587D5B">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w:t>
            </w:r>
            <w:r w:rsidR="008C2568">
              <w:rPr>
                <w:rFonts w:ascii="Arial" w:eastAsia="Times New Roman" w:hAnsi="Arial" w:cs="Arial"/>
                <w:lang w:val="en-US" w:eastAsia="en-GB"/>
              </w:rPr>
              <w:t>Exemptions</w:t>
            </w:r>
            <w:r w:rsidR="009C7FDA">
              <w:rPr>
                <w:rFonts w:ascii="Arial" w:eastAsia="Times New Roman" w:hAnsi="Arial" w:cs="Arial"/>
                <w:lang w:val="en-US" w:eastAsia="en-GB"/>
              </w:rPr>
              <w:t>.</w:t>
            </w:r>
          </w:p>
          <w:p w14:paraId="6B0042DE" w14:textId="4A77603A" w:rsidR="008C2568" w:rsidRPr="002C75F0" w:rsidRDefault="00F56F12" w:rsidP="008C2568">
            <w:pPr>
              <w:spacing w:line="360" w:lineRule="auto"/>
              <w:rPr>
                <w:rFonts w:ascii="Arial" w:hAnsi="Arial" w:cs="Arial"/>
                <w:lang w:val="en-US"/>
              </w:rPr>
            </w:pPr>
            <w:sdt>
              <w:sdtPr>
                <w:rPr>
                  <w:rFonts w:ascii="Arial" w:eastAsia="Times New Roman" w:hAnsi="Arial" w:cs="Arial"/>
                  <w:lang w:val="en-US" w:eastAsia="en-GB"/>
                </w:rPr>
                <w:id w:val="-673416033"/>
                <w14:checkbox>
                  <w14:checked w14:val="1"/>
                  <w14:checkedState w14:val="2612" w14:font="MS Gothic"/>
                  <w14:uncheckedState w14:val="2610" w14:font="MS Gothic"/>
                </w14:checkbox>
              </w:sdtPr>
              <w:sdtContent>
                <w:r w:rsidR="003B6445">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w:t>
            </w:r>
            <w:r w:rsidR="008C2568">
              <w:rPr>
                <w:rFonts w:ascii="Arial" w:eastAsia="Times New Roman" w:hAnsi="Arial" w:cs="Arial"/>
                <w:lang w:val="en-US" w:eastAsia="en-GB"/>
              </w:rPr>
              <w:t>High profile case</w:t>
            </w:r>
            <w:r w:rsidR="009C7FDA">
              <w:rPr>
                <w:rFonts w:ascii="Arial" w:eastAsia="Times New Roman" w:hAnsi="Arial" w:cs="Arial"/>
                <w:lang w:val="en-US" w:eastAsia="en-GB"/>
              </w:rPr>
              <w:t>.</w:t>
            </w:r>
          </w:p>
          <w:p w14:paraId="041237D0" w14:textId="69DB6994" w:rsidR="008C2568" w:rsidRDefault="00F56F12" w:rsidP="008C2568">
            <w:pPr>
              <w:spacing w:line="360" w:lineRule="auto"/>
              <w:rPr>
                <w:rFonts w:ascii="Arial" w:eastAsia="Times New Roman" w:hAnsi="Arial" w:cs="Arial"/>
                <w:lang w:val="en-US" w:eastAsia="en-GB"/>
              </w:rPr>
            </w:pPr>
            <w:sdt>
              <w:sdtPr>
                <w:rPr>
                  <w:rFonts w:ascii="Arial" w:eastAsia="Times New Roman" w:hAnsi="Arial" w:cs="Arial"/>
                  <w:lang w:val="en-US" w:eastAsia="en-GB"/>
                </w:rPr>
                <w:id w:val="989445779"/>
                <w14:checkbox>
                  <w14:checked w14:val="0"/>
                  <w14:checkedState w14:val="2612" w14:font="MS Gothic"/>
                  <w14:uncheckedState w14:val="2610" w14:font="MS Gothic"/>
                </w14:checkbox>
              </w:sdtPr>
              <w:sdtContent>
                <w:r w:rsidR="008C2568" w:rsidRPr="002C75F0">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w:t>
            </w:r>
            <w:r w:rsidR="008C2568">
              <w:rPr>
                <w:rFonts w:ascii="Arial" w:eastAsia="Times New Roman" w:hAnsi="Arial" w:cs="Arial"/>
                <w:lang w:val="en-US" w:eastAsia="en-GB"/>
              </w:rPr>
              <w:t>Direct constitutional significance</w:t>
            </w:r>
            <w:r w:rsidR="009C7FDA">
              <w:rPr>
                <w:rFonts w:ascii="Arial" w:eastAsia="Times New Roman" w:hAnsi="Arial" w:cs="Arial"/>
                <w:lang w:val="en-US" w:eastAsia="en-GB"/>
              </w:rPr>
              <w:t>.</w:t>
            </w:r>
          </w:p>
          <w:p w14:paraId="2E25A9AF" w14:textId="2043C7D6" w:rsidR="008C2568" w:rsidRPr="002C75F0" w:rsidRDefault="00F56F12" w:rsidP="008C2568">
            <w:pPr>
              <w:spacing w:line="360" w:lineRule="auto"/>
              <w:rPr>
                <w:rFonts w:ascii="Arial" w:hAnsi="Arial" w:cs="Arial"/>
                <w:lang w:val="en-US"/>
              </w:rPr>
            </w:pPr>
            <w:sdt>
              <w:sdtPr>
                <w:rPr>
                  <w:rFonts w:ascii="Arial" w:eastAsia="Times New Roman" w:hAnsi="Arial" w:cs="Arial"/>
                  <w:lang w:val="en-US" w:eastAsia="en-GB"/>
                </w:rPr>
                <w:id w:val="1536000245"/>
                <w14:checkbox>
                  <w14:checked w14:val="0"/>
                  <w14:checkedState w14:val="2612" w14:font="MS Gothic"/>
                  <w14:uncheckedState w14:val="2610" w14:font="MS Gothic"/>
                </w14:checkbox>
              </w:sdtPr>
              <w:sdtContent>
                <w:r w:rsidR="008C2568">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w:t>
            </w:r>
            <w:r w:rsidR="008C2568">
              <w:rPr>
                <w:rFonts w:ascii="Arial" w:eastAsia="Times New Roman" w:hAnsi="Arial" w:cs="Arial"/>
                <w:lang w:val="en-US" w:eastAsia="en-GB"/>
              </w:rPr>
              <w:t>The decision affects the rights of vulnerable groups</w:t>
            </w:r>
            <w:r w:rsidR="009C7FDA">
              <w:rPr>
                <w:rFonts w:ascii="Arial" w:eastAsia="Times New Roman" w:hAnsi="Arial" w:cs="Arial"/>
                <w:lang w:val="en-US" w:eastAsia="en-GB"/>
              </w:rPr>
              <w:t>.</w:t>
            </w:r>
          </w:p>
          <w:p w14:paraId="75EB7CE8" w14:textId="63562B57" w:rsidR="008C2568" w:rsidRPr="002C75F0" w:rsidRDefault="00F56F12" w:rsidP="008C2568">
            <w:pPr>
              <w:spacing w:line="360" w:lineRule="auto"/>
              <w:rPr>
                <w:rFonts w:ascii="Arial" w:hAnsi="Arial" w:cs="Arial"/>
                <w:lang w:val="en-US"/>
              </w:rPr>
            </w:pPr>
            <w:sdt>
              <w:sdtPr>
                <w:rPr>
                  <w:rFonts w:ascii="Arial" w:eastAsia="Times New Roman" w:hAnsi="Arial" w:cs="Arial"/>
                  <w:lang w:val="en-US" w:eastAsia="en-GB"/>
                </w:rPr>
                <w:id w:val="-1596016167"/>
                <w14:checkbox>
                  <w14:checked w14:val="0"/>
                  <w14:checkedState w14:val="2612" w14:font="MS Gothic"/>
                  <w14:uncheckedState w14:val="2610" w14:font="MS Gothic"/>
                </w14:checkbox>
              </w:sdtPr>
              <w:sdtContent>
                <w:r w:rsidR="008C2568">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w:t>
            </w:r>
            <w:r w:rsidR="008C2568" w:rsidRPr="009C7FDA">
              <w:rPr>
                <w:rFonts w:ascii="Arial" w:eastAsia="Times New Roman" w:hAnsi="Arial" w:cs="Arial"/>
                <w:lang w:val="en-US" w:eastAsia="en-GB"/>
              </w:rPr>
              <w:t>Involve new</w:t>
            </w:r>
            <w:r w:rsidR="008C2568">
              <w:rPr>
                <w:rFonts w:ascii="Arial" w:eastAsia="Times New Roman" w:hAnsi="Arial" w:cs="Arial"/>
                <w:lang w:val="en-US" w:eastAsia="en-GB"/>
              </w:rPr>
              <w:t xml:space="preserve"> technologies</w:t>
            </w:r>
            <w:r w:rsidR="009C7FDA">
              <w:rPr>
                <w:rFonts w:ascii="Arial" w:eastAsia="Times New Roman" w:hAnsi="Arial" w:cs="Arial"/>
                <w:lang w:val="en-US" w:eastAsia="en-GB"/>
              </w:rPr>
              <w:t>.</w:t>
            </w:r>
          </w:p>
          <w:p w14:paraId="6623C46B" w14:textId="7BC99732" w:rsidR="008C2568" w:rsidRPr="00027825" w:rsidRDefault="00F56F12" w:rsidP="008C2568">
            <w:pPr>
              <w:spacing w:line="360" w:lineRule="auto"/>
              <w:rPr>
                <w:rFonts w:ascii="Arial" w:eastAsia="Times New Roman" w:hAnsi="Arial" w:cs="Arial"/>
                <w:lang w:val="en-US" w:eastAsia="en-GB"/>
              </w:rPr>
            </w:pPr>
            <w:sdt>
              <w:sdtPr>
                <w:rPr>
                  <w:rFonts w:ascii="Arial" w:eastAsia="Times New Roman" w:hAnsi="Arial" w:cs="Arial"/>
                  <w:lang w:val="en-US" w:eastAsia="en-GB"/>
                </w:rPr>
                <w:id w:val="800427415"/>
                <w14:checkbox>
                  <w14:checked w14:val="0"/>
                  <w14:checkedState w14:val="2612" w14:font="MS Gothic"/>
                  <w14:uncheckedState w14:val="2610" w14:font="MS Gothic"/>
                </w14:checkbox>
              </w:sdtPr>
              <w:sdtContent>
                <w:r w:rsidR="008C2568" w:rsidRPr="002C75F0">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w:t>
            </w:r>
            <w:r w:rsidR="008C2568">
              <w:rPr>
                <w:rFonts w:ascii="Arial" w:eastAsia="Times New Roman" w:hAnsi="Arial" w:cs="Arial"/>
                <w:lang w:val="en-US" w:eastAsia="en-GB"/>
              </w:rPr>
              <w:t>Direct international significance</w:t>
            </w:r>
            <w:r w:rsidR="009C7FDA">
              <w:rPr>
                <w:rFonts w:ascii="Arial" w:eastAsia="Times New Roman" w:hAnsi="Arial" w:cs="Arial"/>
                <w:lang w:val="en-US" w:eastAsia="en-GB"/>
              </w:rPr>
              <w:t>.</w:t>
            </w:r>
          </w:p>
          <w:p w14:paraId="05332BB2" w14:textId="7FBA5D42" w:rsidR="008C2568" w:rsidRPr="002C75F0" w:rsidRDefault="00F56F12" w:rsidP="008C2568">
            <w:pPr>
              <w:spacing w:line="360" w:lineRule="auto"/>
              <w:rPr>
                <w:rFonts w:ascii="Arial" w:hAnsi="Arial" w:cs="Arial"/>
                <w:lang w:val="en-US"/>
              </w:rPr>
            </w:pPr>
            <w:sdt>
              <w:sdtPr>
                <w:rPr>
                  <w:rFonts w:ascii="Arial" w:eastAsia="Times New Roman" w:hAnsi="Arial" w:cs="Arial"/>
                  <w:lang w:val="en-US" w:eastAsia="en-GB"/>
                </w:rPr>
                <w:id w:val="1215933709"/>
                <w14:checkbox>
                  <w14:checked w14:val="0"/>
                  <w14:checkedState w14:val="2612" w14:font="MS Gothic"/>
                  <w14:uncheckedState w14:val="2610" w14:font="MS Gothic"/>
                </w14:checkbox>
              </w:sdtPr>
              <w:sdtContent>
                <w:r w:rsidR="008C2568" w:rsidRPr="002C75F0">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w:t>
            </w:r>
            <w:r w:rsidR="008C2568">
              <w:rPr>
                <w:rFonts w:ascii="Arial" w:eastAsia="Times New Roman" w:hAnsi="Arial" w:cs="Arial"/>
                <w:lang w:val="en-US" w:eastAsia="en-GB"/>
              </w:rPr>
              <w:t>The relevance of the case most reflective to the application of the authority´s powers</w:t>
            </w:r>
            <w:r w:rsidR="009C7FDA">
              <w:rPr>
                <w:rFonts w:ascii="Arial" w:eastAsia="Times New Roman" w:hAnsi="Arial" w:cs="Arial"/>
                <w:lang w:val="en-US" w:eastAsia="en-GB"/>
              </w:rPr>
              <w:t>.</w:t>
            </w:r>
          </w:p>
          <w:p w14:paraId="39D89A8F" w14:textId="3C8A0EEC" w:rsidR="005F6D08" w:rsidRPr="002A0234" w:rsidRDefault="00F56F12" w:rsidP="00F018EA">
            <w:pPr>
              <w:spacing w:line="360" w:lineRule="auto"/>
              <w:rPr>
                <w:rFonts w:ascii="Arial" w:hAnsi="Arial" w:cs="Arial"/>
                <w:lang w:val="en-US"/>
              </w:rPr>
            </w:pPr>
            <w:sdt>
              <w:sdtPr>
                <w:rPr>
                  <w:rFonts w:ascii="Arial" w:eastAsia="Times New Roman" w:hAnsi="Arial" w:cs="Arial"/>
                  <w:lang w:val="en-US" w:eastAsia="en-GB"/>
                </w:rPr>
                <w:id w:val="354469294"/>
                <w14:checkbox>
                  <w14:checked w14:val="0"/>
                  <w14:checkedState w14:val="2612" w14:font="MS Gothic"/>
                  <w14:uncheckedState w14:val="2610" w14:font="MS Gothic"/>
                </w14:checkbox>
              </w:sdtPr>
              <w:sdtContent>
                <w:r w:rsidR="008C2568" w:rsidRPr="002C75F0">
                  <w:rPr>
                    <w:rFonts w:ascii="MS Gothic" w:eastAsia="MS Gothic" w:hAnsi="MS Gothic" w:cs="Arial" w:hint="eastAsia"/>
                    <w:lang w:val="en-US" w:eastAsia="en-GB"/>
                  </w:rPr>
                  <w:t>☐</w:t>
                </w:r>
              </w:sdtContent>
            </w:sdt>
            <w:r w:rsidR="008C2568" w:rsidRPr="002C75F0">
              <w:rPr>
                <w:rFonts w:ascii="Arial" w:eastAsia="Times New Roman" w:hAnsi="Arial" w:cs="Arial"/>
                <w:lang w:val="en-US" w:eastAsia="en-GB"/>
              </w:rPr>
              <w:t xml:space="preserve"> Other</w:t>
            </w:r>
            <w:r w:rsidR="008C2568">
              <w:rPr>
                <w:rFonts w:ascii="Arial" w:eastAsia="Times New Roman" w:hAnsi="Arial" w:cs="Arial"/>
                <w:lang w:val="en-US" w:eastAsia="en-GB"/>
              </w:rPr>
              <w:t>: ________________________________</w:t>
            </w:r>
          </w:p>
        </w:tc>
      </w:tr>
      <w:tr w:rsidR="008C2568" w:rsidRPr="00030AEE" w14:paraId="0A04422A" w14:textId="77777777" w:rsidTr="00982CB2">
        <w:trPr>
          <w:trHeight w:val="567"/>
        </w:trPr>
        <w:tc>
          <w:tcPr>
            <w:tcW w:w="8828" w:type="dxa"/>
          </w:tcPr>
          <w:p w14:paraId="610D3C4D" w14:textId="77777777" w:rsidR="008C2568" w:rsidRDefault="00CD0DEA" w:rsidP="00F018EA">
            <w:pPr>
              <w:spacing w:line="360" w:lineRule="auto"/>
              <w:rPr>
                <w:rFonts w:ascii="Arial" w:hAnsi="Arial" w:cs="Arial"/>
                <w:lang w:val="en-US"/>
              </w:rPr>
            </w:pPr>
            <w:r>
              <w:rPr>
                <w:rFonts w:ascii="Arial" w:hAnsi="Arial" w:cs="Arial"/>
                <w:lang w:val="en-US"/>
              </w:rPr>
              <w:lastRenderedPageBreak/>
              <w:t>K</w:t>
            </w:r>
            <w:r w:rsidRPr="00CD0DEA">
              <w:rPr>
                <w:rFonts w:ascii="Arial" w:hAnsi="Arial" w:cs="Arial"/>
                <w:lang w:val="en-US"/>
              </w:rPr>
              <w:t>eyword</w:t>
            </w:r>
            <w:r w:rsidR="008D3DD2">
              <w:rPr>
                <w:rFonts w:ascii="Arial" w:hAnsi="Arial" w:cs="Arial"/>
                <w:lang w:val="en-US"/>
              </w:rPr>
              <w:t xml:space="preserve"> </w:t>
            </w:r>
            <w:r w:rsidRPr="00CD0DEA">
              <w:rPr>
                <w:rFonts w:ascii="Arial" w:hAnsi="Arial" w:cs="Arial"/>
                <w:lang w:val="en-US"/>
              </w:rPr>
              <w:t>/</w:t>
            </w:r>
            <w:r w:rsidR="008D3DD2">
              <w:rPr>
                <w:rFonts w:ascii="Arial" w:hAnsi="Arial" w:cs="Arial"/>
                <w:lang w:val="en-US"/>
              </w:rPr>
              <w:t xml:space="preserve"> </w:t>
            </w:r>
            <w:r w:rsidRPr="00CD0DEA">
              <w:rPr>
                <w:rFonts w:ascii="Arial" w:hAnsi="Arial" w:cs="Arial"/>
                <w:lang w:val="en-US"/>
              </w:rPr>
              <w:t>subject heading the case</w:t>
            </w:r>
            <w:r>
              <w:rPr>
                <w:rFonts w:ascii="Arial" w:hAnsi="Arial" w:cs="Arial"/>
                <w:lang w:val="en-US"/>
              </w:rPr>
              <w:t>:</w:t>
            </w:r>
          </w:p>
          <w:p w14:paraId="084CEBF1" w14:textId="01F781A6" w:rsidR="003B6445" w:rsidRPr="00E47F39" w:rsidRDefault="00997A3A" w:rsidP="00F018EA">
            <w:pPr>
              <w:spacing w:line="360" w:lineRule="auto"/>
              <w:rPr>
                <w:rFonts w:ascii="Arial" w:hAnsi="Arial" w:cs="MV Boli"/>
                <w:rtl/>
                <w:lang w:val="en-US" w:bidi="dv-MV"/>
              </w:rPr>
            </w:pPr>
            <w:r>
              <w:rPr>
                <w:rFonts w:ascii="Arial" w:hAnsi="Arial" w:cs="Arial"/>
                <w:lang w:val="en-US"/>
              </w:rPr>
              <w:t xml:space="preserve">Definition of </w:t>
            </w:r>
            <w:r w:rsidR="003B6445">
              <w:rPr>
                <w:rFonts w:ascii="Arial" w:hAnsi="Arial" w:cs="Arial"/>
                <w:lang w:val="en-US"/>
              </w:rPr>
              <w:t xml:space="preserve">Information, </w:t>
            </w:r>
            <w:r w:rsidR="003038D7">
              <w:rPr>
                <w:rFonts w:ascii="Arial" w:hAnsi="Arial" w:cs="Arial"/>
                <w:lang w:val="en-US"/>
              </w:rPr>
              <w:t>Partial disclosure</w:t>
            </w:r>
            <w:r>
              <w:rPr>
                <w:rFonts w:ascii="Arial" w:hAnsi="Arial" w:cs="Arial"/>
                <w:lang w:val="en-US"/>
              </w:rPr>
              <w:t>, Third-party personal information</w:t>
            </w:r>
          </w:p>
        </w:tc>
      </w:tr>
    </w:tbl>
    <w:p w14:paraId="147C763B" w14:textId="43C0B1A2" w:rsidR="002A0234" w:rsidRDefault="002A0234" w:rsidP="002A0234">
      <w:pPr>
        <w:spacing w:after="0" w:line="360" w:lineRule="auto"/>
        <w:rPr>
          <w:rFonts w:ascii="Arial" w:hAnsi="Arial" w:cs="Arial"/>
          <w:lang w:val="en-US"/>
        </w:rPr>
      </w:pPr>
    </w:p>
    <w:p w14:paraId="6F272B46" w14:textId="712442CA" w:rsidR="002A0234" w:rsidRPr="002A0234" w:rsidRDefault="002A0234" w:rsidP="002A0234">
      <w:pPr>
        <w:spacing w:after="0" w:line="360" w:lineRule="auto"/>
        <w:jc w:val="both"/>
        <w:rPr>
          <w:rFonts w:ascii="Arial" w:hAnsi="Arial" w:cs="Arial"/>
          <w:b/>
          <w:iCs/>
          <w:smallCaps/>
          <w:color w:val="2F5496" w:themeColor="accent1" w:themeShade="BF"/>
          <w:lang w:val="en-US"/>
        </w:rPr>
      </w:pPr>
      <w:r w:rsidRPr="002A0234">
        <w:rPr>
          <w:rFonts w:ascii="Arial" w:hAnsi="Arial" w:cs="Arial"/>
          <w:b/>
          <w:iCs/>
          <w:smallCaps/>
          <w:color w:val="2F5496" w:themeColor="accent1" w:themeShade="BF"/>
          <w:lang w:val="en-US"/>
        </w:rPr>
        <w:t>Resources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2A0234" w:rsidRPr="002A0234" w14:paraId="0135D9AD" w14:textId="77777777" w:rsidTr="009C7139">
        <w:trPr>
          <w:trHeight w:val="567"/>
        </w:trPr>
        <w:tc>
          <w:tcPr>
            <w:tcW w:w="8828" w:type="dxa"/>
          </w:tcPr>
          <w:p w14:paraId="25C79129" w14:textId="52D7AA8C" w:rsidR="002A0234" w:rsidRDefault="000C32E7" w:rsidP="008A13C6">
            <w:pPr>
              <w:tabs>
                <w:tab w:val="left" w:pos="7740"/>
              </w:tabs>
              <w:spacing w:line="360" w:lineRule="auto"/>
              <w:rPr>
                <w:rFonts w:ascii="Arial" w:hAnsi="Arial" w:cs="Arial"/>
                <w:rtl/>
                <w:lang w:val="en-US"/>
              </w:rPr>
            </w:pPr>
            <w:r>
              <w:rPr>
                <w:rFonts w:ascii="Arial" w:hAnsi="Arial" w:cs="Arial"/>
                <w:lang w:val="en-US"/>
              </w:rPr>
              <w:t>L</w:t>
            </w:r>
            <w:r w:rsidR="002A0234" w:rsidRPr="002A0234">
              <w:rPr>
                <w:rFonts w:ascii="Arial" w:hAnsi="Arial" w:cs="Arial"/>
                <w:lang w:val="en-US"/>
              </w:rPr>
              <w:t>ink</w:t>
            </w:r>
            <w:r w:rsidR="009C7139">
              <w:rPr>
                <w:rFonts w:ascii="Arial" w:hAnsi="Arial" w:cs="Arial"/>
                <w:lang w:val="en-US"/>
              </w:rPr>
              <w:t xml:space="preserve"> to the resolution</w:t>
            </w:r>
            <w:r w:rsidR="002A0234" w:rsidRPr="002A0234">
              <w:rPr>
                <w:rFonts w:ascii="Arial" w:hAnsi="Arial" w:cs="Arial"/>
                <w:lang w:val="en-US"/>
              </w:rPr>
              <w:t>:</w:t>
            </w:r>
            <w:r w:rsidR="008A13C6">
              <w:rPr>
                <w:rFonts w:ascii="Arial" w:hAnsi="Arial" w:cs="Arial"/>
                <w:lang w:val="en-US"/>
              </w:rPr>
              <w:tab/>
            </w:r>
          </w:p>
          <w:p w14:paraId="6E81B627" w14:textId="53B3EAF3" w:rsidR="00E47F39" w:rsidRPr="002A0234" w:rsidRDefault="004858F9" w:rsidP="00F018EA">
            <w:pPr>
              <w:spacing w:line="360" w:lineRule="auto"/>
              <w:rPr>
                <w:rFonts w:ascii="Arial" w:hAnsi="Arial" w:cs="Arial"/>
                <w:lang w:val="en-US"/>
              </w:rPr>
            </w:pPr>
            <w:r>
              <w:rPr>
                <w:rFonts w:ascii="Arial" w:hAnsi="Arial" w:cs="Arial"/>
                <w:color w:val="FF0000"/>
                <w:lang w:val="en-US"/>
              </w:rPr>
              <w:t xml:space="preserve"> </w:t>
            </w:r>
          </w:p>
        </w:tc>
      </w:tr>
    </w:tbl>
    <w:p w14:paraId="03D4A7F9" w14:textId="099727F4" w:rsidR="002A0234" w:rsidRPr="002A0234" w:rsidRDefault="002A0234" w:rsidP="002A0234">
      <w:pPr>
        <w:spacing w:after="0" w:line="360" w:lineRule="auto"/>
        <w:rPr>
          <w:rFonts w:ascii="Arial" w:hAnsi="Arial" w:cs="Arial"/>
          <w:lang w:val="en-US"/>
        </w:rPr>
      </w:pPr>
    </w:p>
    <w:sectPr w:rsidR="002A0234" w:rsidRPr="002A023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4DEB" w14:textId="77777777" w:rsidR="00681624" w:rsidRDefault="00681624" w:rsidP="002A0234">
      <w:pPr>
        <w:spacing w:after="0" w:line="240" w:lineRule="auto"/>
      </w:pPr>
      <w:r>
        <w:separator/>
      </w:r>
    </w:p>
  </w:endnote>
  <w:endnote w:type="continuationSeparator" w:id="0">
    <w:p w14:paraId="7C5FA63E" w14:textId="77777777" w:rsidR="00681624" w:rsidRDefault="00681624" w:rsidP="002A0234">
      <w:pPr>
        <w:spacing w:after="0" w:line="240" w:lineRule="auto"/>
      </w:pPr>
      <w:r>
        <w:continuationSeparator/>
      </w:r>
    </w:p>
  </w:endnote>
  <w:endnote w:type="continuationNotice" w:id="1">
    <w:p w14:paraId="5EBCD690" w14:textId="77777777" w:rsidR="00681624" w:rsidRDefault="00681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V Boli">
    <w:panose1 w:val="02000500030200090000"/>
    <w:charset w:val="00"/>
    <w:family w:val="modern"/>
    <w:notTrueType/>
    <w:pitch w:val="variable"/>
    <w:sig w:usb0="00000003" w:usb1="00000000" w:usb2="000001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79007"/>
      <w:docPartObj>
        <w:docPartGallery w:val="Page Numbers (Bottom of Page)"/>
        <w:docPartUnique/>
      </w:docPartObj>
    </w:sdtPr>
    <w:sdtContent>
      <w:p w14:paraId="2394BBA1" w14:textId="35778456" w:rsidR="002A0234" w:rsidRDefault="002A0234">
        <w:pPr>
          <w:pStyle w:val="Footer"/>
          <w:jc w:val="right"/>
        </w:pPr>
        <w:r>
          <w:fldChar w:fldCharType="begin"/>
        </w:r>
        <w:r>
          <w:instrText>PAGE   \* MERGEFORMAT</w:instrText>
        </w:r>
        <w:r>
          <w:fldChar w:fldCharType="separate"/>
        </w:r>
        <w:r>
          <w:rPr>
            <w:lang w:val="es-ES"/>
          </w:rPr>
          <w:t>2</w:t>
        </w:r>
        <w:r>
          <w:fldChar w:fldCharType="end"/>
        </w:r>
      </w:p>
    </w:sdtContent>
  </w:sdt>
  <w:p w14:paraId="67CB3F39" w14:textId="77777777" w:rsidR="002A0234" w:rsidRDefault="002A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D2A8" w14:textId="77777777" w:rsidR="00681624" w:rsidRDefault="00681624" w:rsidP="002A0234">
      <w:pPr>
        <w:spacing w:after="0" w:line="240" w:lineRule="auto"/>
      </w:pPr>
      <w:r>
        <w:separator/>
      </w:r>
    </w:p>
  </w:footnote>
  <w:footnote w:type="continuationSeparator" w:id="0">
    <w:p w14:paraId="46F7053D" w14:textId="77777777" w:rsidR="00681624" w:rsidRDefault="00681624" w:rsidP="002A0234">
      <w:pPr>
        <w:spacing w:after="0" w:line="240" w:lineRule="auto"/>
      </w:pPr>
      <w:r>
        <w:continuationSeparator/>
      </w:r>
    </w:p>
  </w:footnote>
  <w:footnote w:type="continuationNotice" w:id="1">
    <w:p w14:paraId="08AC95CE" w14:textId="77777777" w:rsidR="00681624" w:rsidRDefault="006816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9EB1" w14:textId="15CF6AE1" w:rsidR="002A0234" w:rsidRDefault="002A0234" w:rsidP="002A0234">
    <w:pPr>
      <w:pStyle w:val="Header"/>
      <w:jc w:val="center"/>
    </w:pPr>
    <w:r>
      <w:rPr>
        <w:noProof/>
      </w:rPr>
      <w:drawing>
        <wp:inline distT="0" distB="0" distL="0" distR="0" wp14:anchorId="51440411" wp14:editId="395CE135">
          <wp:extent cx="2574309" cy="1644650"/>
          <wp:effectExtent l="0" t="0" r="0" b="0"/>
          <wp:docPr id="6" name="Picture 6" descr="\\v-whdata1\home$\kappera\My Documents\ICIC\Secretariat\Logo\English\Logo ICIC_RGB_print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74309" cy="1644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0EA1"/>
    <w:multiLevelType w:val="hybridMultilevel"/>
    <w:tmpl w:val="91808900"/>
    <w:lvl w:ilvl="0" w:tplc="70B6838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8434C25"/>
    <w:multiLevelType w:val="hybridMultilevel"/>
    <w:tmpl w:val="8DBC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050752">
    <w:abstractNumId w:val="0"/>
  </w:num>
  <w:num w:numId="2" w16cid:durableId="117368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34"/>
    <w:rsid w:val="0001068C"/>
    <w:rsid w:val="0002519F"/>
    <w:rsid w:val="00030AEE"/>
    <w:rsid w:val="00044EC1"/>
    <w:rsid w:val="00046B66"/>
    <w:rsid w:val="00046F2D"/>
    <w:rsid w:val="000733E5"/>
    <w:rsid w:val="00090C5B"/>
    <w:rsid w:val="000C32E7"/>
    <w:rsid w:val="000C5FCD"/>
    <w:rsid w:val="000D4743"/>
    <w:rsid w:val="000E0196"/>
    <w:rsid w:val="0012141C"/>
    <w:rsid w:val="00123F9D"/>
    <w:rsid w:val="00124A91"/>
    <w:rsid w:val="00134EC0"/>
    <w:rsid w:val="00136938"/>
    <w:rsid w:val="001A15E8"/>
    <w:rsid w:val="001B6B0B"/>
    <w:rsid w:val="001C2332"/>
    <w:rsid w:val="001C70AB"/>
    <w:rsid w:val="001D066C"/>
    <w:rsid w:val="001D104D"/>
    <w:rsid w:val="001D244D"/>
    <w:rsid w:val="001D2E82"/>
    <w:rsid w:val="001D3448"/>
    <w:rsid w:val="0020122F"/>
    <w:rsid w:val="002233D2"/>
    <w:rsid w:val="002405F1"/>
    <w:rsid w:val="00264240"/>
    <w:rsid w:val="00266155"/>
    <w:rsid w:val="00282A7F"/>
    <w:rsid w:val="0028461F"/>
    <w:rsid w:val="002A0234"/>
    <w:rsid w:val="002B7132"/>
    <w:rsid w:val="002D612A"/>
    <w:rsid w:val="002E1921"/>
    <w:rsid w:val="002E304C"/>
    <w:rsid w:val="002E63D7"/>
    <w:rsid w:val="003025DC"/>
    <w:rsid w:val="003038D7"/>
    <w:rsid w:val="00305849"/>
    <w:rsid w:val="0031103B"/>
    <w:rsid w:val="00330663"/>
    <w:rsid w:val="003359CD"/>
    <w:rsid w:val="0036712A"/>
    <w:rsid w:val="00371D3A"/>
    <w:rsid w:val="0037412E"/>
    <w:rsid w:val="00380FA7"/>
    <w:rsid w:val="003838F3"/>
    <w:rsid w:val="0039376B"/>
    <w:rsid w:val="003B6445"/>
    <w:rsid w:val="003E7DB1"/>
    <w:rsid w:val="003F6759"/>
    <w:rsid w:val="00462E49"/>
    <w:rsid w:val="00467563"/>
    <w:rsid w:val="00467E94"/>
    <w:rsid w:val="004858F9"/>
    <w:rsid w:val="00490ACB"/>
    <w:rsid w:val="004C04BE"/>
    <w:rsid w:val="004D6741"/>
    <w:rsid w:val="005201E5"/>
    <w:rsid w:val="0052477D"/>
    <w:rsid w:val="005308A2"/>
    <w:rsid w:val="00537855"/>
    <w:rsid w:val="00553A7F"/>
    <w:rsid w:val="00556CB9"/>
    <w:rsid w:val="005657D9"/>
    <w:rsid w:val="00587D5B"/>
    <w:rsid w:val="005A78F2"/>
    <w:rsid w:val="005B0C2D"/>
    <w:rsid w:val="005E178B"/>
    <w:rsid w:val="005F6D08"/>
    <w:rsid w:val="00601407"/>
    <w:rsid w:val="00605BC4"/>
    <w:rsid w:val="006330CD"/>
    <w:rsid w:val="00644160"/>
    <w:rsid w:val="00681445"/>
    <w:rsid w:val="00681624"/>
    <w:rsid w:val="006928FA"/>
    <w:rsid w:val="006A77D2"/>
    <w:rsid w:val="006C3769"/>
    <w:rsid w:val="006D7BB9"/>
    <w:rsid w:val="006E5827"/>
    <w:rsid w:val="006F10A9"/>
    <w:rsid w:val="006F47BC"/>
    <w:rsid w:val="00717CE8"/>
    <w:rsid w:val="00723D1A"/>
    <w:rsid w:val="00731FE6"/>
    <w:rsid w:val="00750AB6"/>
    <w:rsid w:val="00753EB2"/>
    <w:rsid w:val="00753F74"/>
    <w:rsid w:val="00773C45"/>
    <w:rsid w:val="007775D9"/>
    <w:rsid w:val="00781425"/>
    <w:rsid w:val="00784C1D"/>
    <w:rsid w:val="0078654F"/>
    <w:rsid w:val="007903FA"/>
    <w:rsid w:val="007D1297"/>
    <w:rsid w:val="0080035C"/>
    <w:rsid w:val="00824152"/>
    <w:rsid w:val="00841500"/>
    <w:rsid w:val="0084322E"/>
    <w:rsid w:val="00873A02"/>
    <w:rsid w:val="00877817"/>
    <w:rsid w:val="00891D81"/>
    <w:rsid w:val="008A0095"/>
    <w:rsid w:val="008A13C6"/>
    <w:rsid w:val="008A5528"/>
    <w:rsid w:val="008A6C03"/>
    <w:rsid w:val="008B0A83"/>
    <w:rsid w:val="008C2568"/>
    <w:rsid w:val="008C54C8"/>
    <w:rsid w:val="008D3DD2"/>
    <w:rsid w:val="008D5440"/>
    <w:rsid w:val="008D58F1"/>
    <w:rsid w:val="008E3438"/>
    <w:rsid w:val="00914776"/>
    <w:rsid w:val="009251B5"/>
    <w:rsid w:val="009467CC"/>
    <w:rsid w:val="00961F13"/>
    <w:rsid w:val="0097148A"/>
    <w:rsid w:val="0097596A"/>
    <w:rsid w:val="00982453"/>
    <w:rsid w:val="00982CB2"/>
    <w:rsid w:val="00997A3A"/>
    <w:rsid w:val="009A04FD"/>
    <w:rsid w:val="009A6C33"/>
    <w:rsid w:val="009B1F92"/>
    <w:rsid w:val="009B3DE9"/>
    <w:rsid w:val="009B4732"/>
    <w:rsid w:val="009C022F"/>
    <w:rsid w:val="009C2DAC"/>
    <w:rsid w:val="009C37BB"/>
    <w:rsid w:val="009C4806"/>
    <w:rsid w:val="009C7139"/>
    <w:rsid w:val="009C7FDA"/>
    <w:rsid w:val="009D05BE"/>
    <w:rsid w:val="009D25F9"/>
    <w:rsid w:val="009F1E91"/>
    <w:rsid w:val="00A0241F"/>
    <w:rsid w:val="00A07EBC"/>
    <w:rsid w:val="00A40115"/>
    <w:rsid w:val="00A43F74"/>
    <w:rsid w:val="00A618BB"/>
    <w:rsid w:val="00A90675"/>
    <w:rsid w:val="00A95DB1"/>
    <w:rsid w:val="00AC174B"/>
    <w:rsid w:val="00AD7A0C"/>
    <w:rsid w:val="00AE6E60"/>
    <w:rsid w:val="00B01229"/>
    <w:rsid w:val="00B0645F"/>
    <w:rsid w:val="00B238DA"/>
    <w:rsid w:val="00B265B8"/>
    <w:rsid w:val="00B277B2"/>
    <w:rsid w:val="00B51052"/>
    <w:rsid w:val="00B83CBB"/>
    <w:rsid w:val="00B93462"/>
    <w:rsid w:val="00BB0A98"/>
    <w:rsid w:val="00BC5F6A"/>
    <w:rsid w:val="00BC6865"/>
    <w:rsid w:val="00BD16B8"/>
    <w:rsid w:val="00BE5A8F"/>
    <w:rsid w:val="00BE5FD7"/>
    <w:rsid w:val="00BE6A52"/>
    <w:rsid w:val="00C01ACF"/>
    <w:rsid w:val="00C226D9"/>
    <w:rsid w:val="00C36B06"/>
    <w:rsid w:val="00C85D70"/>
    <w:rsid w:val="00CD0DEA"/>
    <w:rsid w:val="00CD2793"/>
    <w:rsid w:val="00CD41D9"/>
    <w:rsid w:val="00CF4D2A"/>
    <w:rsid w:val="00D07D81"/>
    <w:rsid w:val="00D223E1"/>
    <w:rsid w:val="00D33AFA"/>
    <w:rsid w:val="00D35BEB"/>
    <w:rsid w:val="00D429AB"/>
    <w:rsid w:val="00D456FA"/>
    <w:rsid w:val="00D460FE"/>
    <w:rsid w:val="00D61C50"/>
    <w:rsid w:val="00D7439D"/>
    <w:rsid w:val="00D75FB3"/>
    <w:rsid w:val="00D946FF"/>
    <w:rsid w:val="00D96141"/>
    <w:rsid w:val="00D9725A"/>
    <w:rsid w:val="00DC084D"/>
    <w:rsid w:val="00DC2561"/>
    <w:rsid w:val="00DF0D81"/>
    <w:rsid w:val="00E06AE5"/>
    <w:rsid w:val="00E32552"/>
    <w:rsid w:val="00E40E74"/>
    <w:rsid w:val="00E425DD"/>
    <w:rsid w:val="00E47F39"/>
    <w:rsid w:val="00E54708"/>
    <w:rsid w:val="00E734A0"/>
    <w:rsid w:val="00EB3346"/>
    <w:rsid w:val="00EC0532"/>
    <w:rsid w:val="00EC5595"/>
    <w:rsid w:val="00ED1B61"/>
    <w:rsid w:val="00ED329C"/>
    <w:rsid w:val="00EE5484"/>
    <w:rsid w:val="00F018EA"/>
    <w:rsid w:val="00F05064"/>
    <w:rsid w:val="00F13435"/>
    <w:rsid w:val="00F13B8F"/>
    <w:rsid w:val="00F258A9"/>
    <w:rsid w:val="00F3418B"/>
    <w:rsid w:val="00F41DB7"/>
    <w:rsid w:val="00F43B26"/>
    <w:rsid w:val="00F44304"/>
    <w:rsid w:val="00F55E7A"/>
    <w:rsid w:val="00F56F12"/>
    <w:rsid w:val="00F813E1"/>
    <w:rsid w:val="00F8626D"/>
    <w:rsid w:val="00FB6EDC"/>
    <w:rsid w:val="00FC13C9"/>
    <w:rsid w:val="00FC6040"/>
    <w:rsid w:val="00FC7493"/>
    <w:rsid w:val="00FE4A4B"/>
    <w:rsid w:val="22CEFF5E"/>
    <w:rsid w:val="3CEDCFDD"/>
    <w:rsid w:val="3DEDCEC1"/>
    <w:rsid w:val="565ADE36"/>
    <w:rsid w:val="599DA204"/>
    <w:rsid w:val="5C963C3E"/>
    <w:rsid w:val="65B49565"/>
    <w:rsid w:val="70CC90E9"/>
    <w:rsid w:val="77ECDD2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19DA"/>
  <w15:chartTrackingRefBased/>
  <w15:docId w15:val="{A78FD7E9-78C8-428B-9DAD-88E4E154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34"/>
    <w:pPr>
      <w:tabs>
        <w:tab w:val="center" w:pos="4419"/>
        <w:tab w:val="right" w:pos="8838"/>
      </w:tabs>
      <w:spacing w:after="0" w:line="240" w:lineRule="auto"/>
    </w:pPr>
  </w:style>
  <w:style w:type="character" w:customStyle="1" w:styleId="HeaderChar">
    <w:name w:val="Header Char"/>
    <w:basedOn w:val="DefaultParagraphFont"/>
    <w:link w:val="Header"/>
    <w:uiPriority w:val="99"/>
    <w:rsid w:val="002A0234"/>
  </w:style>
  <w:style w:type="paragraph" w:styleId="Footer">
    <w:name w:val="footer"/>
    <w:basedOn w:val="Normal"/>
    <w:link w:val="FooterChar"/>
    <w:uiPriority w:val="99"/>
    <w:unhideWhenUsed/>
    <w:rsid w:val="002A0234"/>
    <w:pPr>
      <w:tabs>
        <w:tab w:val="center" w:pos="4419"/>
        <w:tab w:val="right" w:pos="8838"/>
      </w:tabs>
      <w:spacing w:after="0" w:line="240" w:lineRule="auto"/>
    </w:pPr>
  </w:style>
  <w:style w:type="character" w:customStyle="1" w:styleId="FooterChar">
    <w:name w:val="Footer Char"/>
    <w:basedOn w:val="DefaultParagraphFont"/>
    <w:link w:val="Footer"/>
    <w:uiPriority w:val="99"/>
    <w:rsid w:val="002A0234"/>
  </w:style>
  <w:style w:type="table" w:styleId="TableGrid">
    <w:name w:val="Table Grid"/>
    <w:basedOn w:val="TableNormal"/>
    <w:uiPriority w:val="39"/>
    <w:rsid w:val="002A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568"/>
    <w:pPr>
      <w:ind w:left="720"/>
      <w:contextualSpacing/>
    </w:pPr>
  </w:style>
  <w:style w:type="character" w:customStyle="1" w:styleId="cf01">
    <w:name w:val="cf01"/>
    <w:basedOn w:val="DefaultParagraphFont"/>
    <w:rsid w:val="00030AEE"/>
    <w:rPr>
      <w:rFonts w:ascii="Segoe UI" w:hAnsi="Segoe UI" w:cs="Segoe UI" w:hint="default"/>
      <w:color w:val="202124"/>
      <w:sz w:val="18"/>
      <w:szCs w:val="18"/>
    </w:rPr>
  </w:style>
  <w:style w:type="paragraph" w:customStyle="1" w:styleId="paragraph">
    <w:name w:val="paragraph"/>
    <w:basedOn w:val="Normal"/>
    <w:rsid w:val="00EB33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B3346"/>
  </w:style>
  <w:style w:type="character" w:customStyle="1" w:styleId="eop">
    <w:name w:val="eop"/>
    <w:basedOn w:val="DefaultParagraphFont"/>
    <w:rsid w:val="00EB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769">
      <w:bodyDiv w:val="1"/>
      <w:marLeft w:val="0"/>
      <w:marRight w:val="0"/>
      <w:marTop w:val="0"/>
      <w:marBottom w:val="0"/>
      <w:divBdr>
        <w:top w:val="none" w:sz="0" w:space="0" w:color="auto"/>
        <w:left w:val="none" w:sz="0" w:space="0" w:color="auto"/>
        <w:bottom w:val="none" w:sz="0" w:space="0" w:color="auto"/>
        <w:right w:val="none" w:sz="0" w:space="0" w:color="auto"/>
      </w:divBdr>
      <w:divsChild>
        <w:div w:id="474489298">
          <w:marLeft w:val="0"/>
          <w:marRight w:val="0"/>
          <w:marTop w:val="0"/>
          <w:marBottom w:val="0"/>
          <w:divBdr>
            <w:top w:val="none" w:sz="0" w:space="0" w:color="auto"/>
            <w:left w:val="none" w:sz="0" w:space="0" w:color="auto"/>
            <w:bottom w:val="none" w:sz="0" w:space="0" w:color="auto"/>
            <w:right w:val="none" w:sz="0" w:space="0" w:color="auto"/>
          </w:divBdr>
        </w:div>
        <w:div w:id="667945344">
          <w:marLeft w:val="0"/>
          <w:marRight w:val="0"/>
          <w:marTop w:val="0"/>
          <w:marBottom w:val="0"/>
          <w:divBdr>
            <w:top w:val="none" w:sz="0" w:space="0" w:color="auto"/>
            <w:left w:val="none" w:sz="0" w:space="0" w:color="auto"/>
            <w:bottom w:val="none" w:sz="0" w:space="0" w:color="auto"/>
            <w:right w:val="none" w:sz="0" w:space="0" w:color="auto"/>
          </w:divBdr>
        </w:div>
        <w:div w:id="1382438717">
          <w:marLeft w:val="0"/>
          <w:marRight w:val="0"/>
          <w:marTop w:val="0"/>
          <w:marBottom w:val="0"/>
          <w:divBdr>
            <w:top w:val="none" w:sz="0" w:space="0" w:color="auto"/>
            <w:left w:val="none" w:sz="0" w:space="0" w:color="auto"/>
            <w:bottom w:val="none" w:sz="0" w:space="0" w:color="auto"/>
            <w:right w:val="none" w:sz="0" w:space="0" w:color="auto"/>
          </w:divBdr>
        </w:div>
        <w:div w:id="1522739148">
          <w:marLeft w:val="0"/>
          <w:marRight w:val="0"/>
          <w:marTop w:val="0"/>
          <w:marBottom w:val="0"/>
          <w:divBdr>
            <w:top w:val="none" w:sz="0" w:space="0" w:color="auto"/>
            <w:left w:val="none" w:sz="0" w:space="0" w:color="auto"/>
            <w:bottom w:val="none" w:sz="0" w:space="0" w:color="auto"/>
            <w:right w:val="none" w:sz="0" w:space="0" w:color="auto"/>
          </w:divBdr>
        </w:div>
        <w:div w:id="1637949624">
          <w:marLeft w:val="0"/>
          <w:marRight w:val="0"/>
          <w:marTop w:val="0"/>
          <w:marBottom w:val="0"/>
          <w:divBdr>
            <w:top w:val="none" w:sz="0" w:space="0" w:color="auto"/>
            <w:left w:val="none" w:sz="0" w:space="0" w:color="auto"/>
            <w:bottom w:val="none" w:sz="0" w:space="0" w:color="auto"/>
            <w:right w:val="none" w:sz="0" w:space="0" w:color="auto"/>
          </w:divBdr>
        </w:div>
        <w:div w:id="1876841862">
          <w:marLeft w:val="0"/>
          <w:marRight w:val="0"/>
          <w:marTop w:val="0"/>
          <w:marBottom w:val="0"/>
          <w:divBdr>
            <w:top w:val="none" w:sz="0" w:space="0" w:color="auto"/>
            <w:left w:val="none" w:sz="0" w:space="0" w:color="auto"/>
            <w:bottom w:val="none" w:sz="0" w:space="0" w:color="auto"/>
            <w:right w:val="none" w:sz="0" w:space="0" w:color="auto"/>
          </w:divBdr>
        </w:div>
        <w:div w:id="1985115970">
          <w:marLeft w:val="0"/>
          <w:marRight w:val="0"/>
          <w:marTop w:val="0"/>
          <w:marBottom w:val="0"/>
          <w:divBdr>
            <w:top w:val="none" w:sz="0" w:space="0" w:color="auto"/>
            <w:left w:val="none" w:sz="0" w:space="0" w:color="auto"/>
            <w:bottom w:val="none" w:sz="0" w:space="0" w:color="auto"/>
            <w:right w:val="none" w:sz="0" w:space="0" w:color="auto"/>
          </w:divBdr>
        </w:div>
        <w:div w:id="1987393044">
          <w:marLeft w:val="0"/>
          <w:marRight w:val="0"/>
          <w:marTop w:val="0"/>
          <w:marBottom w:val="0"/>
          <w:divBdr>
            <w:top w:val="none" w:sz="0" w:space="0" w:color="auto"/>
            <w:left w:val="none" w:sz="0" w:space="0" w:color="auto"/>
            <w:bottom w:val="none" w:sz="0" w:space="0" w:color="auto"/>
            <w:right w:val="none" w:sz="0" w:space="0" w:color="auto"/>
          </w:divBdr>
        </w:div>
      </w:divsChild>
    </w:div>
    <w:div w:id="1235318871">
      <w:bodyDiv w:val="1"/>
      <w:marLeft w:val="0"/>
      <w:marRight w:val="0"/>
      <w:marTop w:val="0"/>
      <w:marBottom w:val="0"/>
      <w:divBdr>
        <w:top w:val="none" w:sz="0" w:space="0" w:color="auto"/>
        <w:left w:val="none" w:sz="0" w:space="0" w:color="auto"/>
        <w:bottom w:val="none" w:sz="0" w:space="0" w:color="auto"/>
        <w:right w:val="none" w:sz="0" w:space="0" w:color="auto"/>
      </w:divBdr>
      <w:divsChild>
        <w:div w:id="34328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9E29-47F6-43A8-B300-1FF918C2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INAI</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Cuauhtémoc Araujo Gómez</dc:creator>
  <cp:keywords/>
  <dc:description/>
  <cp:lastModifiedBy>Idrees Ismail</cp:lastModifiedBy>
  <cp:revision>2</cp:revision>
  <dcterms:created xsi:type="dcterms:W3CDTF">2023-05-12T15:15:00Z</dcterms:created>
  <dcterms:modified xsi:type="dcterms:W3CDTF">2023-05-12T15:15:00Z</dcterms:modified>
</cp:coreProperties>
</file>